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E0361" w14:textId="77777777" w:rsidR="00B263D0" w:rsidRDefault="00B263D0" w:rsidP="00B263D0">
      <w:pPr>
        <w:pStyle w:val="Title"/>
        <w:ind w:left="0"/>
        <w:rPr>
          <w:lang w:val="en-US"/>
        </w:rPr>
      </w:pPr>
    </w:p>
    <w:p w14:paraId="7ECA9851" w14:textId="39B37B4D" w:rsidR="007B449A" w:rsidRPr="003B7FD1" w:rsidRDefault="003B7FD1" w:rsidP="00B263D0">
      <w:pPr>
        <w:pStyle w:val="Title"/>
        <w:ind w:left="0"/>
        <w:rPr>
          <w:lang w:val="en-US"/>
        </w:rPr>
      </w:pPr>
      <w:r>
        <w:rPr>
          <w:lang w:val="en-US"/>
        </w:rPr>
        <w:t>Hubungan Pengetahuan dan Sikap Remaja Puteri Terhadap Pencegahan Anemia</w:t>
      </w:r>
    </w:p>
    <w:p w14:paraId="22CBACB6" w14:textId="77777777" w:rsidR="00B263D0" w:rsidRDefault="00B263D0">
      <w:pPr>
        <w:spacing w:before="1" w:line="274" w:lineRule="exact"/>
        <w:ind w:left="112"/>
        <w:rPr>
          <w:b/>
          <w:sz w:val="24"/>
          <w:lang w:val="en-US"/>
        </w:rPr>
      </w:pPr>
    </w:p>
    <w:p w14:paraId="5CD8F3A9" w14:textId="64716599" w:rsidR="007B449A" w:rsidRPr="00B263D0" w:rsidRDefault="003B7FD1" w:rsidP="00B263D0">
      <w:pPr>
        <w:spacing w:before="1" w:line="276" w:lineRule="auto"/>
        <w:rPr>
          <w:b/>
        </w:rPr>
      </w:pPr>
      <w:r w:rsidRPr="00B263D0">
        <w:rPr>
          <w:b/>
          <w:lang w:val="en-US"/>
        </w:rPr>
        <w:t>Nurmala</w:t>
      </w:r>
      <w:r w:rsidRPr="00B263D0">
        <w:rPr>
          <w:b/>
          <w:vertAlign w:val="superscript"/>
        </w:rPr>
        <w:t>1*</w:t>
      </w:r>
      <w:r w:rsidRPr="00B263D0">
        <w:rPr>
          <w:b/>
        </w:rPr>
        <w:t>,</w:t>
      </w:r>
      <w:r w:rsidRPr="00B263D0">
        <w:rPr>
          <w:b/>
          <w:spacing w:val="-3"/>
        </w:rPr>
        <w:t xml:space="preserve"> </w:t>
      </w:r>
      <w:r w:rsidRPr="00B263D0">
        <w:rPr>
          <w:b/>
          <w:spacing w:val="-3"/>
          <w:lang w:val="en-US"/>
        </w:rPr>
        <w:t>Rahmah</w:t>
      </w:r>
      <w:r w:rsidRPr="00B263D0">
        <w:rPr>
          <w:b/>
          <w:vertAlign w:val="superscript"/>
        </w:rPr>
        <w:t>2*</w:t>
      </w:r>
      <w:r w:rsidRPr="00B263D0">
        <w:rPr>
          <w:b/>
        </w:rPr>
        <w:t>,</w:t>
      </w:r>
      <w:r w:rsidRPr="00B263D0">
        <w:rPr>
          <w:b/>
          <w:spacing w:val="-3"/>
        </w:rPr>
        <w:t xml:space="preserve"> </w:t>
      </w:r>
      <w:r w:rsidRPr="00B263D0">
        <w:rPr>
          <w:b/>
          <w:spacing w:val="-3"/>
          <w:lang w:val="en-US"/>
        </w:rPr>
        <w:t>Silvia Mariana</w:t>
      </w:r>
      <w:r w:rsidRPr="00B263D0">
        <w:rPr>
          <w:b/>
          <w:spacing w:val="-2"/>
          <w:vertAlign w:val="superscript"/>
        </w:rPr>
        <w:t>3*</w:t>
      </w:r>
    </w:p>
    <w:p w14:paraId="6ACB0DE6" w14:textId="20FABE6C" w:rsidR="003B7FD1" w:rsidRPr="00B263D0" w:rsidRDefault="00B263D0" w:rsidP="00B263D0">
      <w:pPr>
        <w:spacing w:line="276" w:lineRule="auto"/>
        <w:rPr>
          <w:lang w:val="en-US"/>
        </w:rPr>
        <w:sectPr w:rsidR="003B7FD1" w:rsidRPr="00B263D0">
          <w:headerReference w:type="default" r:id="rId7"/>
          <w:footerReference w:type="default" r:id="rId8"/>
          <w:type w:val="continuous"/>
          <w:pgSz w:w="11910" w:h="16840"/>
          <w:pgMar w:top="320" w:right="700" w:bottom="280" w:left="1300" w:header="720" w:footer="720" w:gutter="0"/>
          <w:cols w:space="720"/>
        </w:sectPr>
      </w:pPr>
      <w:r w:rsidRPr="00B263D0">
        <w:rPr>
          <w:i/>
          <w:lang w:val="en-US"/>
        </w:rPr>
        <w:t xml:space="preserve"> </w:t>
      </w:r>
      <w:r w:rsidR="003B7FD1" w:rsidRPr="00B263D0">
        <w:rPr>
          <w:i/>
          <w:lang w:val="en-US"/>
        </w:rPr>
        <w:t>S</w:t>
      </w:r>
      <w:r w:rsidR="00AA6C36" w:rsidRPr="00B263D0">
        <w:rPr>
          <w:i/>
          <w:lang w:val="en-US"/>
        </w:rPr>
        <w:t xml:space="preserve">ekolah </w:t>
      </w:r>
      <w:r w:rsidR="003B7FD1" w:rsidRPr="00B263D0">
        <w:rPr>
          <w:i/>
          <w:lang w:val="en-US"/>
        </w:rPr>
        <w:t>T</w:t>
      </w:r>
      <w:r w:rsidR="00AA6C36" w:rsidRPr="00B263D0">
        <w:rPr>
          <w:i/>
          <w:lang w:val="en-US"/>
        </w:rPr>
        <w:t xml:space="preserve">inggi </w:t>
      </w:r>
      <w:r w:rsidR="003B7FD1" w:rsidRPr="00B263D0">
        <w:rPr>
          <w:i/>
          <w:lang w:val="en-US"/>
        </w:rPr>
        <w:t>I</w:t>
      </w:r>
      <w:r w:rsidR="00AA6C36" w:rsidRPr="00B263D0">
        <w:rPr>
          <w:i/>
          <w:lang w:val="en-US"/>
        </w:rPr>
        <w:t xml:space="preserve">lmu </w:t>
      </w:r>
      <w:r w:rsidR="003B7FD1" w:rsidRPr="00B263D0">
        <w:rPr>
          <w:i/>
          <w:lang w:val="en-US"/>
        </w:rPr>
        <w:t>Kes</w:t>
      </w:r>
      <w:r w:rsidR="00AA6C36" w:rsidRPr="00B263D0">
        <w:rPr>
          <w:i/>
          <w:lang w:val="en-US"/>
        </w:rPr>
        <w:t>ehatan</w:t>
      </w:r>
      <w:r w:rsidR="003B7FD1" w:rsidRPr="00B263D0">
        <w:rPr>
          <w:i/>
          <w:lang w:val="en-US"/>
        </w:rPr>
        <w:t xml:space="preserve"> Keluarga Bunda Jambi</w:t>
      </w:r>
      <w:r w:rsidRPr="00B263D0">
        <w:rPr>
          <w:i/>
          <w:vertAlign w:val="superscript"/>
          <w:lang w:val="en-US"/>
        </w:rPr>
        <w:t>1,2,3</w:t>
      </w:r>
    </w:p>
    <w:p w14:paraId="0AE11FFA" w14:textId="77777777" w:rsidR="007B449A" w:rsidRDefault="007B449A">
      <w:pPr>
        <w:pStyle w:val="BodyText"/>
        <w:rPr>
          <w:i/>
          <w:sz w:val="18"/>
        </w:rPr>
      </w:pPr>
    </w:p>
    <w:p w14:paraId="129146D3" w14:textId="77777777" w:rsidR="00B263D0" w:rsidRDefault="00B263D0" w:rsidP="00B263D0">
      <w:pPr>
        <w:rPr>
          <w:b/>
          <w:bCs/>
          <w:color w:val="000000"/>
          <w:lang w:val="id-ID"/>
        </w:rPr>
      </w:pPr>
    </w:p>
    <w:p w14:paraId="4EE7185C" w14:textId="6F7FBD62" w:rsidR="00B263D0" w:rsidRPr="007B1267" w:rsidRDefault="00B263D0" w:rsidP="00B263D0">
      <w:pPr>
        <w:rPr>
          <w:b/>
          <w:bCs/>
          <w:color w:val="000000"/>
          <w:lang w:val="id-ID"/>
        </w:rPr>
      </w:pPr>
      <w:r w:rsidRPr="007B1267">
        <w:rPr>
          <w:b/>
          <w:bCs/>
          <w:color w:val="000000"/>
          <w:lang w:val="id-ID"/>
        </w:rPr>
        <w:t>Informasi Artikel :</w:t>
      </w:r>
    </w:p>
    <w:p w14:paraId="129E641B" w14:textId="77777777" w:rsidR="00B263D0" w:rsidRPr="007B1267" w:rsidRDefault="00B263D0" w:rsidP="00B263D0">
      <w:pPr>
        <w:ind w:right="-502"/>
        <w:rPr>
          <w:bCs/>
          <w:color w:val="000000"/>
          <w:lang w:val="zh-CN"/>
        </w:rPr>
      </w:pPr>
      <w:r w:rsidRPr="007B1267">
        <w:rPr>
          <w:bCs/>
          <w:color w:val="000000"/>
          <w:lang w:val="id-ID"/>
        </w:rPr>
        <w:t>Diterima : 24 September 2024</w:t>
      </w:r>
    </w:p>
    <w:p w14:paraId="61731BC0" w14:textId="77777777" w:rsidR="00B263D0" w:rsidRPr="007B1267" w:rsidRDefault="00B263D0" w:rsidP="00B263D0">
      <w:pPr>
        <w:ind w:right="-502"/>
        <w:rPr>
          <w:bCs/>
          <w:color w:val="000000"/>
          <w:lang w:val="id-ID" w:eastAsia="zh-CN"/>
        </w:rPr>
      </w:pPr>
      <w:r w:rsidRPr="007B1267">
        <w:rPr>
          <w:bCs/>
          <w:color w:val="000000"/>
          <w:lang w:val="zh-CN"/>
        </w:rPr>
        <w:t xml:space="preserve">Direvisi </w:t>
      </w:r>
      <w:r w:rsidRPr="007B1267">
        <w:rPr>
          <w:bCs/>
          <w:color w:val="000000"/>
          <w:lang w:val="id-ID"/>
        </w:rPr>
        <w:t xml:space="preserve"> </w:t>
      </w:r>
      <w:r w:rsidRPr="007B1267">
        <w:rPr>
          <w:bCs/>
          <w:color w:val="000000"/>
          <w:lang w:val="zh-CN"/>
        </w:rPr>
        <w:t xml:space="preserve">: </w:t>
      </w:r>
      <w:r w:rsidRPr="007B1267">
        <w:rPr>
          <w:bCs/>
          <w:color w:val="000000"/>
          <w:lang w:val="id-ID"/>
        </w:rPr>
        <w:t>14 Oktober 2024</w:t>
      </w:r>
    </w:p>
    <w:p w14:paraId="17FC7A95" w14:textId="77777777" w:rsidR="00B263D0" w:rsidRDefault="00B263D0" w:rsidP="00B263D0">
      <w:pPr>
        <w:ind w:right="-502"/>
        <w:rPr>
          <w:bCs/>
          <w:color w:val="000000"/>
          <w:lang w:val="id-ID"/>
        </w:rPr>
      </w:pPr>
      <w:r w:rsidRPr="007B1267">
        <w:rPr>
          <w:bCs/>
          <w:color w:val="000000"/>
          <w:lang w:val="id-ID"/>
        </w:rPr>
        <w:t>Disetujui :</w:t>
      </w:r>
      <w:r w:rsidRPr="007B1267">
        <w:rPr>
          <w:bCs/>
          <w:color w:val="000000"/>
          <w:lang w:val="zh-CN"/>
        </w:rPr>
        <w:t xml:space="preserve"> 2</w:t>
      </w:r>
      <w:r w:rsidRPr="007B1267">
        <w:rPr>
          <w:bCs/>
          <w:color w:val="000000"/>
          <w:lang w:val="id-ID"/>
        </w:rPr>
        <w:t>8 Oktober 2024</w:t>
      </w:r>
    </w:p>
    <w:p w14:paraId="4080C3B1" w14:textId="4294B6BD" w:rsidR="00EF75BD" w:rsidRPr="007B1267" w:rsidRDefault="00EF75BD" w:rsidP="000B72A8">
      <w:pPr>
        <w:ind w:right="-785"/>
        <w:rPr>
          <w:bCs/>
          <w:color w:val="000000"/>
          <w:lang w:val="id-ID"/>
        </w:rPr>
      </w:pPr>
      <w:r>
        <w:rPr>
          <w:bCs/>
          <w:color w:val="000000"/>
          <w:lang w:val="id-ID"/>
        </w:rPr>
        <w:t xml:space="preserve">Diterbitkan : </w:t>
      </w:r>
      <w:r w:rsidR="000B72A8">
        <w:rPr>
          <w:bCs/>
          <w:color w:val="000000"/>
          <w:lang w:val="id-ID"/>
        </w:rPr>
        <w:t>23 Desember 2024</w:t>
      </w:r>
    </w:p>
    <w:p w14:paraId="3F33B0B7" w14:textId="77777777" w:rsidR="007B449A" w:rsidRPr="00B263D0" w:rsidRDefault="00000000" w:rsidP="00B263D0">
      <w:pPr>
        <w:spacing w:before="205"/>
        <w:ind w:left="196" w:right="-360" w:hanging="88"/>
        <w:rPr>
          <w:i/>
        </w:rPr>
      </w:pPr>
      <w:r w:rsidRPr="00B263D0">
        <w:rPr>
          <w:i/>
          <w:vertAlign w:val="superscript"/>
        </w:rPr>
        <w:t>*</w:t>
      </w:r>
      <w:r w:rsidRPr="00B263D0">
        <w:rPr>
          <w:i/>
        </w:rPr>
        <w:t>Korespondensi</w:t>
      </w:r>
      <w:r w:rsidRPr="00B263D0">
        <w:rPr>
          <w:i/>
          <w:spacing w:val="-12"/>
        </w:rPr>
        <w:t xml:space="preserve"> </w:t>
      </w:r>
      <w:r w:rsidRPr="00B263D0">
        <w:rPr>
          <w:i/>
        </w:rPr>
        <w:t>Penulis</w:t>
      </w:r>
      <w:r w:rsidRPr="00B263D0">
        <w:rPr>
          <w:i/>
          <w:spacing w:val="-11"/>
        </w:rPr>
        <w:t xml:space="preserve"> </w:t>
      </w:r>
      <w:r w:rsidRPr="00B263D0">
        <w:rPr>
          <w:i/>
        </w:rPr>
        <w:t>: Alamat email penulis</w:t>
      </w:r>
    </w:p>
    <w:p w14:paraId="3197A0A6" w14:textId="77777777" w:rsidR="00B263D0" w:rsidRDefault="00000000">
      <w:pPr>
        <w:spacing w:before="6"/>
        <w:ind w:left="144"/>
        <w:jc w:val="both"/>
      </w:pPr>
      <w:r w:rsidRPr="00B263D0">
        <w:br w:type="column"/>
      </w:r>
    </w:p>
    <w:p w14:paraId="1E34F6BB" w14:textId="77777777" w:rsidR="00B263D0" w:rsidRDefault="00B263D0">
      <w:pPr>
        <w:spacing w:before="6"/>
        <w:ind w:left="144"/>
        <w:jc w:val="both"/>
        <w:rPr>
          <w:b/>
          <w:sz w:val="20"/>
        </w:rPr>
      </w:pPr>
    </w:p>
    <w:p w14:paraId="3D0F2BFB" w14:textId="6A56C79E" w:rsidR="007B449A" w:rsidRDefault="00000000">
      <w:pPr>
        <w:spacing w:before="6"/>
        <w:ind w:left="144"/>
        <w:jc w:val="both"/>
        <w:rPr>
          <w:b/>
          <w:sz w:val="20"/>
        </w:rPr>
      </w:pPr>
      <w:r>
        <w:rPr>
          <w:b/>
          <w:sz w:val="20"/>
        </w:rPr>
        <w:t>A</w:t>
      </w:r>
      <w:r>
        <w:rPr>
          <w:b/>
          <w:spacing w:val="-3"/>
          <w:sz w:val="20"/>
        </w:rPr>
        <w:t xml:space="preserve"> </w:t>
      </w:r>
      <w:r>
        <w:rPr>
          <w:b/>
          <w:sz w:val="20"/>
        </w:rPr>
        <w:t>B S</w:t>
      </w:r>
      <w:r>
        <w:rPr>
          <w:b/>
          <w:spacing w:val="2"/>
          <w:sz w:val="20"/>
        </w:rPr>
        <w:t xml:space="preserve"> </w:t>
      </w:r>
      <w:r>
        <w:rPr>
          <w:b/>
          <w:sz w:val="20"/>
        </w:rPr>
        <w:t>T R</w:t>
      </w:r>
      <w:r>
        <w:rPr>
          <w:b/>
          <w:spacing w:val="-3"/>
          <w:sz w:val="20"/>
        </w:rPr>
        <w:t xml:space="preserve"> </w:t>
      </w:r>
      <w:r>
        <w:rPr>
          <w:b/>
          <w:sz w:val="20"/>
        </w:rPr>
        <w:t>A</w:t>
      </w:r>
      <w:r>
        <w:rPr>
          <w:b/>
          <w:spacing w:val="-3"/>
          <w:sz w:val="20"/>
        </w:rPr>
        <w:t xml:space="preserve"> </w:t>
      </w:r>
      <w:r>
        <w:rPr>
          <w:b/>
          <w:spacing w:val="-10"/>
          <w:sz w:val="20"/>
        </w:rPr>
        <w:t>K</w:t>
      </w:r>
    </w:p>
    <w:p w14:paraId="0A170B50" w14:textId="77777777" w:rsidR="007B449A" w:rsidRDefault="007B449A">
      <w:pPr>
        <w:pStyle w:val="BodyText"/>
        <w:spacing w:before="1"/>
        <w:rPr>
          <w:b/>
          <w:sz w:val="20"/>
        </w:rPr>
      </w:pPr>
    </w:p>
    <w:p w14:paraId="38A751D2" w14:textId="5CA7B89B" w:rsidR="003B7FD1" w:rsidRDefault="003B7FD1" w:rsidP="00B263D0">
      <w:pPr>
        <w:pStyle w:val="BodyText"/>
        <w:spacing w:line="276" w:lineRule="auto"/>
        <w:ind w:left="132" w:right="106" w:hanging="24"/>
        <w:jc w:val="both"/>
      </w:pPr>
      <w:r w:rsidRPr="00FB0DC8">
        <w:t xml:space="preserve">Angka prevalensi anemia di Indonesia, dimana remaja wanita sebesar 26,50%. Anemia memiliki risiko yang lebih tinggi pada remaja puteri dibandingkan pada remaja putra. Dampak anemia pada remaja puteri akan memberikan kontribusi negatif bila hamil pada usia remaja ataupun saat dewasa yang dapat menyebabkan kelahiran bayi dengan berat badan bayi lahir rendah, kesakitan bahkan kematian pada ibu dan bayi. </w:t>
      </w:r>
      <w:r w:rsidR="00721CB3">
        <w:rPr>
          <w:lang w:val="en-US"/>
        </w:rPr>
        <w:t>A</w:t>
      </w:r>
      <w:r w:rsidRPr="00FB0DC8">
        <w:t xml:space="preserve">nemia juga mempunyai dampak negatif terhadap perkembangan fisik dan kognitif remaja. Tujuan penelitian ini adalah untuk mengetahui hubungan pengetahuan dan sikap remaja puteri terhadap pencegahan anemia di SMPN 19 Muaro Jambi. Metode penelitian yang digunakan adalah penelitian </w:t>
      </w:r>
      <w:r w:rsidRPr="00FB0DC8">
        <w:rPr>
          <w:i/>
          <w:iCs/>
        </w:rPr>
        <w:t xml:space="preserve">survey analitik </w:t>
      </w:r>
      <w:r w:rsidRPr="00FB0DC8">
        <w:t xml:space="preserve">dengan pendekatan </w:t>
      </w:r>
      <w:r w:rsidRPr="00FB0DC8">
        <w:rPr>
          <w:i/>
        </w:rPr>
        <w:t>cross sectional</w:t>
      </w:r>
      <w:r w:rsidRPr="00FB0DC8">
        <w:t>. Populasi pada penelitian ini adalah seluruh siswi di SMPN 19 Muaro Jambi sebanyak 46 orang.</w:t>
      </w:r>
      <w:r w:rsidR="00721CB3">
        <w:rPr>
          <w:lang w:val="en-US"/>
        </w:rPr>
        <w:t xml:space="preserve"> </w:t>
      </w:r>
      <w:r w:rsidRPr="00FB0DC8">
        <w:t xml:space="preserve">Teknik pengambilan sampel dengan </w:t>
      </w:r>
      <w:r w:rsidRPr="00FB0DC8">
        <w:rPr>
          <w:i/>
          <w:iCs/>
        </w:rPr>
        <w:t>total sampling</w:t>
      </w:r>
      <w:r w:rsidR="00721CB3">
        <w:rPr>
          <w:i/>
          <w:iCs/>
          <w:lang w:val="en-US"/>
        </w:rPr>
        <w:t xml:space="preserve">. </w:t>
      </w:r>
      <w:r w:rsidRPr="00FB0DC8">
        <w:t xml:space="preserve">Analisa data menggunakan uji </w:t>
      </w:r>
      <w:r w:rsidRPr="00FB0DC8">
        <w:rPr>
          <w:i/>
        </w:rPr>
        <w:t>chi-square.</w:t>
      </w:r>
      <w:r w:rsidRPr="00FB0DC8">
        <w:t xml:space="preserve"> Hasil penelitian didapatkan sebagian besar responden memiliki pengetahuan cukup sebanyak 21 responden (45,7%), dan sebagian besar sebagian besar responden memiliki sikap negatif sebanyak 24 responden (52,5%). Hasil analisa data bivariat didapatkan ada hubungan pengetahuan (p=0,001) dan sikap (p=0,000) terhadap pencegahan anemia di SMPN 19 Muaro Jambi. Ada hubungan pengetahuan dan sikap remaja puteri terhadap pencegahan anemia di SMPN 19 Muaro Jambi.</w:t>
      </w:r>
    </w:p>
    <w:p w14:paraId="21D9A817" w14:textId="77777777" w:rsidR="00B263D0" w:rsidRDefault="00B263D0" w:rsidP="00B263D0">
      <w:pPr>
        <w:pStyle w:val="BodyText"/>
        <w:tabs>
          <w:tab w:val="left" w:pos="2293"/>
        </w:tabs>
        <w:spacing w:before="3" w:line="276" w:lineRule="auto"/>
        <w:ind w:left="132" w:right="108"/>
        <w:jc w:val="both"/>
        <w:rPr>
          <w:b/>
        </w:rPr>
      </w:pPr>
    </w:p>
    <w:p w14:paraId="405C1F38" w14:textId="597969B8" w:rsidR="007B449A" w:rsidRDefault="00000000" w:rsidP="00B263D0">
      <w:pPr>
        <w:pStyle w:val="BodyText"/>
        <w:tabs>
          <w:tab w:val="left" w:pos="2293"/>
        </w:tabs>
        <w:spacing w:before="3" w:line="276" w:lineRule="auto"/>
        <w:ind w:left="132" w:right="108"/>
        <w:jc w:val="both"/>
        <w:rPr>
          <w:lang w:val="en-US"/>
        </w:rPr>
      </w:pPr>
      <w:r>
        <w:rPr>
          <w:b/>
        </w:rPr>
        <w:t>Kata Kunci</w:t>
      </w:r>
      <w:r w:rsidR="00721CB3">
        <w:rPr>
          <w:b/>
          <w:lang w:val="en-US"/>
        </w:rPr>
        <w:t xml:space="preserve"> </w:t>
      </w:r>
      <w:r>
        <w:t xml:space="preserve">: </w:t>
      </w:r>
      <w:r w:rsidR="003B7FD1">
        <w:rPr>
          <w:lang w:val="en-US"/>
        </w:rPr>
        <w:t>Anemia, Pengetahuan, Sikap</w:t>
      </w:r>
    </w:p>
    <w:p w14:paraId="7304CF95" w14:textId="77777777" w:rsidR="00B263D0" w:rsidRDefault="00B263D0" w:rsidP="00B263D0">
      <w:pPr>
        <w:pStyle w:val="BodyText"/>
        <w:tabs>
          <w:tab w:val="left" w:pos="2293"/>
        </w:tabs>
        <w:spacing w:before="3" w:line="276" w:lineRule="auto"/>
        <w:ind w:left="132" w:right="108"/>
        <w:jc w:val="both"/>
        <w:rPr>
          <w:lang w:val="en-US"/>
        </w:rPr>
      </w:pPr>
    </w:p>
    <w:p w14:paraId="7FCD32F8" w14:textId="77777777" w:rsidR="00B263D0" w:rsidRDefault="00B263D0" w:rsidP="00B263D0">
      <w:pPr>
        <w:pStyle w:val="BodyText"/>
        <w:tabs>
          <w:tab w:val="left" w:pos="2293"/>
        </w:tabs>
        <w:spacing w:before="3" w:line="276" w:lineRule="auto"/>
        <w:ind w:left="132" w:right="108"/>
        <w:jc w:val="both"/>
        <w:rPr>
          <w:lang w:val="en-US"/>
        </w:rPr>
      </w:pPr>
    </w:p>
    <w:p w14:paraId="13DE4A90" w14:textId="77777777" w:rsidR="00B263D0" w:rsidRDefault="00B263D0" w:rsidP="00B263D0">
      <w:pPr>
        <w:pStyle w:val="BodyText"/>
        <w:tabs>
          <w:tab w:val="left" w:pos="2293"/>
        </w:tabs>
        <w:spacing w:before="3" w:line="276" w:lineRule="auto"/>
        <w:ind w:left="132" w:right="108"/>
        <w:jc w:val="both"/>
        <w:rPr>
          <w:lang w:val="en-US"/>
        </w:rPr>
      </w:pPr>
    </w:p>
    <w:p w14:paraId="7952FC0D" w14:textId="77777777" w:rsidR="00B263D0" w:rsidRDefault="00B263D0" w:rsidP="00B263D0">
      <w:pPr>
        <w:pStyle w:val="BodyText"/>
        <w:tabs>
          <w:tab w:val="left" w:pos="2293"/>
        </w:tabs>
        <w:spacing w:before="3" w:line="276" w:lineRule="auto"/>
        <w:ind w:left="132" w:right="108"/>
        <w:jc w:val="both"/>
        <w:rPr>
          <w:lang w:val="en-US"/>
        </w:rPr>
      </w:pPr>
    </w:p>
    <w:p w14:paraId="31ACDC9F" w14:textId="77777777" w:rsidR="00B263D0" w:rsidRDefault="00B263D0" w:rsidP="00B263D0">
      <w:pPr>
        <w:pStyle w:val="BodyText"/>
        <w:tabs>
          <w:tab w:val="left" w:pos="2293"/>
        </w:tabs>
        <w:spacing w:before="3" w:line="276" w:lineRule="auto"/>
        <w:ind w:left="132" w:right="108"/>
        <w:jc w:val="both"/>
        <w:rPr>
          <w:lang w:val="en-US"/>
        </w:rPr>
      </w:pPr>
    </w:p>
    <w:p w14:paraId="2B3B46C6" w14:textId="77777777" w:rsidR="00B263D0" w:rsidRDefault="00B263D0" w:rsidP="00B263D0">
      <w:pPr>
        <w:pStyle w:val="BodyText"/>
        <w:tabs>
          <w:tab w:val="left" w:pos="2293"/>
        </w:tabs>
        <w:spacing w:before="3" w:line="276" w:lineRule="auto"/>
        <w:ind w:left="132" w:right="108"/>
        <w:jc w:val="both"/>
        <w:rPr>
          <w:lang w:val="en-US"/>
        </w:rPr>
      </w:pPr>
    </w:p>
    <w:p w14:paraId="3811188C" w14:textId="77777777" w:rsidR="00B263D0" w:rsidRDefault="00B263D0" w:rsidP="00B263D0">
      <w:pPr>
        <w:pStyle w:val="BodyText"/>
        <w:tabs>
          <w:tab w:val="left" w:pos="2293"/>
        </w:tabs>
        <w:spacing w:before="3" w:line="276" w:lineRule="auto"/>
        <w:ind w:left="132" w:right="108"/>
        <w:jc w:val="both"/>
        <w:rPr>
          <w:lang w:val="en-US"/>
        </w:rPr>
      </w:pPr>
    </w:p>
    <w:p w14:paraId="098EAF60" w14:textId="77777777" w:rsidR="00B263D0" w:rsidRDefault="00B263D0" w:rsidP="00B263D0">
      <w:pPr>
        <w:pStyle w:val="BodyText"/>
        <w:tabs>
          <w:tab w:val="left" w:pos="2293"/>
        </w:tabs>
        <w:spacing w:before="3" w:line="276" w:lineRule="auto"/>
        <w:ind w:left="132" w:right="108"/>
        <w:jc w:val="both"/>
        <w:rPr>
          <w:lang w:val="en-US"/>
        </w:rPr>
      </w:pPr>
    </w:p>
    <w:p w14:paraId="6019E542" w14:textId="77777777" w:rsidR="00B263D0" w:rsidRDefault="00B263D0" w:rsidP="00B263D0">
      <w:pPr>
        <w:pStyle w:val="BodyText"/>
        <w:tabs>
          <w:tab w:val="left" w:pos="2293"/>
        </w:tabs>
        <w:spacing w:before="3" w:line="276" w:lineRule="auto"/>
        <w:ind w:left="132" w:right="108"/>
        <w:jc w:val="both"/>
        <w:rPr>
          <w:lang w:val="en-US"/>
        </w:rPr>
      </w:pPr>
    </w:p>
    <w:p w14:paraId="43E4CB6E" w14:textId="77777777" w:rsidR="00B263D0" w:rsidRDefault="00B263D0" w:rsidP="00B263D0">
      <w:pPr>
        <w:pStyle w:val="BodyText"/>
        <w:tabs>
          <w:tab w:val="left" w:pos="2293"/>
        </w:tabs>
        <w:spacing w:before="3" w:line="276" w:lineRule="auto"/>
        <w:ind w:left="132" w:right="108"/>
        <w:jc w:val="both"/>
        <w:rPr>
          <w:lang w:val="en-US"/>
        </w:rPr>
      </w:pPr>
    </w:p>
    <w:p w14:paraId="7AE00611" w14:textId="77777777" w:rsidR="00B263D0" w:rsidRDefault="00B263D0" w:rsidP="00B263D0">
      <w:pPr>
        <w:pStyle w:val="BodyText"/>
        <w:tabs>
          <w:tab w:val="left" w:pos="2293"/>
        </w:tabs>
        <w:spacing w:before="3" w:line="276" w:lineRule="auto"/>
        <w:ind w:left="132" w:right="108"/>
        <w:jc w:val="both"/>
        <w:rPr>
          <w:lang w:val="en-US"/>
        </w:rPr>
      </w:pPr>
    </w:p>
    <w:p w14:paraId="160FD618" w14:textId="77777777" w:rsidR="00B263D0" w:rsidRDefault="00B263D0" w:rsidP="00B263D0">
      <w:pPr>
        <w:pStyle w:val="BodyText"/>
        <w:tabs>
          <w:tab w:val="left" w:pos="2293"/>
        </w:tabs>
        <w:spacing w:before="3" w:line="276" w:lineRule="auto"/>
        <w:ind w:left="132" w:right="108"/>
        <w:jc w:val="both"/>
        <w:rPr>
          <w:lang w:val="en-US"/>
        </w:rPr>
      </w:pPr>
    </w:p>
    <w:p w14:paraId="0C4148F9" w14:textId="77777777" w:rsidR="00B263D0" w:rsidRDefault="00B263D0" w:rsidP="00B263D0">
      <w:pPr>
        <w:pStyle w:val="BodyText"/>
        <w:tabs>
          <w:tab w:val="left" w:pos="2293"/>
        </w:tabs>
        <w:spacing w:before="3" w:line="276" w:lineRule="auto"/>
        <w:ind w:left="132" w:right="108"/>
        <w:jc w:val="both"/>
        <w:rPr>
          <w:lang w:val="en-US"/>
        </w:rPr>
      </w:pPr>
    </w:p>
    <w:p w14:paraId="727C3E64" w14:textId="77777777" w:rsidR="00B263D0" w:rsidRDefault="00B263D0" w:rsidP="00B263D0">
      <w:pPr>
        <w:pStyle w:val="BodyText"/>
        <w:tabs>
          <w:tab w:val="left" w:pos="2293"/>
        </w:tabs>
        <w:spacing w:before="3" w:line="276" w:lineRule="auto"/>
        <w:ind w:left="132" w:right="108"/>
        <w:jc w:val="both"/>
        <w:rPr>
          <w:lang w:val="en-US"/>
        </w:rPr>
      </w:pPr>
    </w:p>
    <w:p w14:paraId="77A25435" w14:textId="77777777" w:rsidR="00B263D0" w:rsidRDefault="00B263D0" w:rsidP="00B263D0">
      <w:pPr>
        <w:pStyle w:val="BodyText"/>
        <w:tabs>
          <w:tab w:val="left" w:pos="2293"/>
        </w:tabs>
        <w:spacing w:before="3" w:line="276" w:lineRule="auto"/>
        <w:ind w:left="132" w:right="108"/>
        <w:jc w:val="both"/>
        <w:rPr>
          <w:lang w:val="en-US"/>
        </w:rPr>
      </w:pPr>
    </w:p>
    <w:p w14:paraId="7DBBD4E8" w14:textId="77777777" w:rsidR="00B263D0" w:rsidRDefault="00B263D0" w:rsidP="00B263D0">
      <w:pPr>
        <w:pStyle w:val="BodyText"/>
        <w:tabs>
          <w:tab w:val="left" w:pos="2293"/>
        </w:tabs>
        <w:spacing w:before="3" w:line="276" w:lineRule="auto"/>
        <w:ind w:left="132" w:right="108"/>
        <w:jc w:val="both"/>
        <w:rPr>
          <w:lang w:val="en-US"/>
        </w:rPr>
      </w:pPr>
    </w:p>
    <w:p w14:paraId="24A896B0" w14:textId="77777777" w:rsidR="00B263D0" w:rsidRDefault="00B263D0" w:rsidP="00B263D0">
      <w:pPr>
        <w:pStyle w:val="BodyText"/>
        <w:tabs>
          <w:tab w:val="left" w:pos="2293"/>
        </w:tabs>
        <w:spacing w:before="3" w:line="276" w:lineRule="auto"/>
        <w:ind w:left="132" w:right="108"/>
        <w:jc w:val="both"/>
        <w:rPr>
          <w:lang w:val="en-US"/>
        </w:rPr>
      </w:pPr>
    </w:p>
    <w:p w14:paraId="6FC06FB8" w14:textId="77777777" w:rsidR="00B263D0" w:rsidRDefault="00B263D0" w:rsidP="00B263D0">
      <w:pPr>
        <w:pStyle w:val="BodyText"/>
        <w:tabs>
          <w:tab w:val="left" w:pos="2293"/>
        </w:tabs>
        <w:spacing w:before="3" w:line="276" w:lineRule="auto"/>
        <w:ind w:left="132" w:right="108"/>
        <w:jc w:val="both"/>
        <w:rPr>
          <w:lang w:val="en-US"/>
        </w:rPr>
      </w:pPr>
    </w:p>
    <w:p w14:paraId="167701F6" w14:textId="77777777" w:rsidR="003B7FD1" w:rsidRPr="003B7FD1" w:rsidRDefault="003B7FD1" w:rsidP="00B263D0">
      <w:pPr>
        <w:pStyle w:val="BodyText"/>
        <w:tabs>
          <w:tab w:val="left" w:pos="2293"/>
        </w:tabs>
        <w:spacing w:before="3" w:line="276" w:lineRule="auto"/>
        <w:ind w:left="132" w:right="108"/>
        <w:jc w:val="both"/>
        <w:rPr>
          <w:lang w:val="en-US"/>
        </w:rPr>
      </w:pPr>
    </w:p>
    <w:p w14:paraId="448AD26A" w14:textId="77777777" w:rsidR="00B263D0" w:rsidRDefault="00B263D0" w:rsidP="003B7FD1">
      <w:pPr>
        <w:rPr>
          <w:b/>
          <w:i/>
          <w:sz w:val="20"/>
          <w:szCs w:val="20"/>
        </w:rPr>
        <w:sectPr w:rsidR="00B263D0">
          <w:type w:val="continuous"/>
          <w:pgSz w:w="11910" w:h="16840"/>
          <w:pgMar w:top="320" w:right="700" w:bottom="280" w:left="1300" w:header="720" w:footer="720" w:gutter="0"/>
          <w:cols w:num="2" w:space="720" w:equalWidth="0">
            <w:col w:w="2192" w:space="1493"/>
            <w:col w:w="6225"/>
          </w:cols>
        </w:sectPr>
      </w:pPr>
    </w:p>
    <w:p w14:paraId="0D9C743E" w14:textId="0D518615" w:rsidR="003B7FD1" w:rsidRPr="003B7FD1" w:rsidRDefault="003B7FD1" w:rsidP="00B263D0">
      <w:pPr>
        <w:ind w:left="3828" w:firstLine="2551"/>
        <w:rPr>
          <w:b/>
          <w:i/>
          <w:sz w:val="20"/>
          <w:szCs w:val="20"/>
        </w:rPr>
      </w:pPr>
      <w:r w:rsidRPr="003B7FD1">
        <w:rPr>
          <w:b/>
          <w:i/>
          <w:sz w:val="20"/>
          <w:szCs w:val="20"/>
        </w:rPr>
        <w:t xml:space="preserve">ABSTRACT </w:t>
      </w:r>
    </w:p>
    <w:p w14:paraId="0B9197E4" w14:textId="77777777" w:rsidR="003B7FD1" w:rsidRPr="00FB0DC8" w:rsidRDefault="003B7FD1" w:rsidP="00B263D0">
      <w:pPr>
        <w:ind w:left="3828" w:firstLine="850"/>
        <w:rPr>
          <w:b/>
          <w:i/>
          <w:lang w:val="id-ID"/>
        </w:rPr>
      </w:pPr>
    </w:p>
    <w:p w14:paraId="7170373C" w14:textId="23C18958" w:rsidR="003B7FD1" w:rsidRPr="00AA6C36" w:rsidRDefault="003B7FD1" w:rsidP="00B263D0">
      <w:pPr>
        <w:ind w:left="3828" w:right="14" w:firstLine="850"/>
        <w:jc w:val="both"/>
        <w:rPr>
          <w:i/>
          <w:lang w:val="en-US"/>
        </w:rPr>
      </w:pPr>
      <w:r w:rsidRPr="00FB0DC8">
        <w:rPr>
          <w:i/>
          <w:lang w:val="en-US"/>
        </w:rPr>
        <w:t xml:space="preserve">The prevalence of anemia in Indonesia is 26.50% among adolescent girls. Anemia poses ahigher risk for adolescent girls compared to adolescent boys. The impact of anemia on adolescent girls will have negative consequences if they become pregnant during their teenage years or even as adults, which can lead to the birth of low birth weight babies, illness, and even death for both mother and child. </w:t>
      </w:r>
      <w:r w:rsidR="00721CB3">
        <w:rPr>
          <w:i/>
          <w:lang w:val="en-US"/>
        </w:rPr>
        <w:t>A</w:t>
      </w:r>
      <w:r w:rsidRPr="00FB0DC8">
        <w:rPr>
          <w:i/>
          <w:lang w:val="en-US"/>
        </w:rPr>
        <w:t>nemia also has negative effects on the physical and cognitive development of adolescents. The purpose is to determine the relationship between knowledge and attitudes of female adolescents towards the prevention of anemia at State Junior High School 19 Muaro Jambi. The research methode used is analytical survey research with a cross sectional approach. The population in this study consists of all frmale students at State Junior High School 19 Muaro Jambi, totaling 46 individuals. The sampling technique used is total sampling. Analyze the data using the chi-square test. The research results indicate that the majority of respondents have sufficient knowledge, with 21 respondents (45.7%), while most respondents have a negative attitude, totaling 24 respondents (52.5%). The bivariate data analysis revealed a relationship between knowledge (p=0.001) and attitude (p=0.000) regarding the prevention of anemia at State Junior High School 19 Muaro Jambi. There is a relationship between the knowledge and attitudes of adolescent girls towards the prevention of anemia at State Junior High School 19 Muaro Jambi.</w:t>
      </w:r>
    </w:p>
    <w:p w14:paraId="6FB9D08B" w14:textId="77777777" w:rsidR="00B263D0" w:rsidRDefault="00B263D0" w:rsidP="00B263D0">
      <w:pPr>
        <w:ind w:left="3828" w:right="14" w:firstLine="850"/>
        <w:rPr>
          <w:b/>
          <w:i/>
        </w:rPr>
      </w:pPr>
    </w:p>
    <w:p w14:paraId="7903F28D" w14:textId="23903E7C" w:rsidR="003B7FD1" w:rsidRPr="00FB0DC8" w:rsidRDefault="003B7FD1" w:rsidP="00B263D0">
      <w:pPr>
        <w:ind w:left="3828" w:right="14"/>
        <w:rPr>
          <w:bCs/>
          <w:i/>
          <w:iCs/>
          <w:lang w:val="id-ID"/>
        </w:rPr>
      </w:pPr>
      <w:r w:rsidRPr="00FB0DC8">
        <w:rPr>
          <w:b/>
          <w:i/>
        </w:rPr>
        <w:t>Keywords</w:t>
      </w:r>
      <w:r w:rsidR="00721CB3">
        <w:rPr>
          <w:b/>
          <w:i/>
          <w:lang w:val="en-US"/>
        </w:rPr>
        <w:t xml:space="preserve"> </w:t>
      </w:r>
      <w:r w:rsidRPr="00FB0DC8">
        <w:rPr>
          <w:b/>
          <w:i/>
        </w:rPr>
        <w:t>:</w:t>
      </w:r>
      <w:r w:rsidRPr="00FB0DC8">
        <w:rPr>
          <w:bCs/>
          <w:i/>
        </w:rPr>
        <w:t xml:space="preserve"> Anemia, Attitude, Knowledge</w:t>
      </w:r>
    </w:p>
    <w:p w14:paraId="29268CB9" w14:textId="4D6D5AD1" w:rsidR="007B449A" w:rsidRDefault="007B449A" w:rsidP="00721CB3">
      <w:pPr>
        <w:spacing w:before="6"/>
        <w:jc w:val="both"/>
        <w:sectPr w:rsidR="007B449A" w:rsidSect="00B263D0">
          <w:type w:val="continuous"/>
          <w:pgSz w:w="11910" w:h="16840"/>
          <w:pgMar w:top="320" w:right="700" w:bottom="280" w:left="1300" w:header="720" w:footer="720" w:gutter="0"/>
          <w:cols w:space="1493"/>
        </w:sectPr>
      </w:pPr>
    </w:p>
    <w:p w14:paraId="627FB8BE" w14:textId="46EFF57E" w:rsidR="007B449A" w:rsidRDefault="00721CB3" w:rsidP="00721CB3">
      <w:pPr>
        <w:pStyle w:val="Heading1"/>
        <w:spacing w:before="91" w:line="240" w:lineRule="auto"/>
        <w:ind w:left="0"/>
      </w:pPr>
      <w:r>
        <w:rPr>
          <w:spacing w:val="-2"/>
          <w:lang w:val="en-US"/>
        </w:rPr>
        <w:lastRenderedPageBreak/>
        <w:t>PE</w:t>
      </w:r>
      <w:r>
        <w:rPr>
          <w:spacing w:val="-2"/>
        </w:rPr>
        <w:t>NDAHULUAN</w:t>
      </w:r>
    </w:p>
    <w:p w14:paraId="5C740ABA" w14:textId="77777777" w:rsidR="00B263D0" w:rsidRDefault="00B263D0" w:rsidP="003B7FD1">
      <w:pPr>
        <w:pStyle w:val="ListParagraph"/>
        <w:ind w:firstLine="633"/>
        <w:jc w:val="both"/>
      </w:pPr>
    </w:p>
    <w:p w14:paraId="7C6E9861" w14:textId="782271C8" w:rsidR="003B7FD1" w:rsidRPr="003B7FD1" w:rsidRDefault="003B7FD1" w:rsidP="003B7FD1">
      <w:pPr>
        <w:pStyle w:val="ListParagraph"/>
        <w:ind w:firstLine="633"/>
        <w:jc w:val="both"/>
      </w:pPr>
      <w:r w:rsidRPr="003B7FD1">
        <w:t xml:space="preserve">Anemia didefinisikan sebagai suatu keadaan dimana rendahnya konsentrasi hemoglobin (Hb) atau hematokrit berdasarkan nilai ambang batas (referensi) yang disebabkan oleh rendahnya produksi sel darah merah (eritrosit) dan Hb, meningkatnya kerusakan eritrosit (hemolisis), atau kehilangan darah yang berlebihan </w:t>
      </w:r>
      <w:r w:rsidRPr="003B7FD1">
        <w:fldChar w:fldCharType="begin" w:fldLock="1"/>
      </w:r>
      <w:r w:rsidR="00145F98">
        <w:instrText>ADDIN CSL_CITATION {"citationItems":[{"id":"ITEM-1","itemData":{"author":[{"dropping-particle":"","family":"Musniati","given":"Nia","non-dropping-particle":"","parse-names":false,"suffix":""},{"dropping-particle":"","family":"Fitria","given":"Fitria","non-dropping-particle":"","parse-names":false,"suffix":""}],"container-title":"Jurnal Kesehatan","id":"ITEM-1","issue":"2","issued":{"date-parts":[["2021"]]},"page":"224-232","title":"Edukasi Pencegahan Anemia pada Remaja Putri","type":"article-journal","volume":"5"},"uris":["http://www.mendeley.com/documents/?uuid=823d7ed7-8900-4170-a792-e1f81c4e6da0"]}],"mendeley":{"formattedCitation":"(Musniati &amp; Fitria, 2021)","plainTextFormattedCitation":"(Musniati &amp; Fitria, 2021)","previouslyFormattedCitation":"(Musniati &amp; Fitria, 2021)"},"properties":{"noteIndex":0},"schema":"https://github.com/citation-style-language/schema/raw/master/csl-citation.json"}</w:instrText>
      </w:r>
      <w:r w:rsidRPr="003B7FD1">
        <w:fldChar w:fldCharType="separate"/>
      </w:r>
      <w:r w:rsidR="00721CB3" w:rsidRPr="00721CB3">
        <w:rPr>
          <w:noProof/>
        </w:rPr>
        <w:t>(Musniati &amp; Fitria, 2021)</w:t>
      </w:r>
      <w:r w:rsidRPr="003B7FD1">
        <w:fldChar w:fldCharType="end"/>
      </w:r>
      <w:r w:rsidRPr="003B7FD1">
        <w:t xml:space="preserve">. Anemia adalah keadaan dimana jumlah sel darah merah berada atau jumlah hemoglobin (protein pembawa oksigen) dalam sel darah merah berada dibawah normal </w:t>
      </w:r>
      <w:r w:rsidRPr="003B7FD1">
        <w:fldChar w:fldCharType="begin" w:fldLock="1"/>
      </w:r>
      <w:r w:rsidRPr="003B7FD1">
        <w:instrText>ADDIN CSL_CITATION {"citationItems":[{"id":"ITEM-1","itemData":{"ISSN":"2614-526X","author":[{"dropping-particle":"","family":"Widaningsih","given":"Ida","non-dropping-particle":"","parse-names":false,"suffix":""}],"container-title":"SELAPARANG: Jurnal Pengabdian Masyarakat Berkemajuan","id":"ITEM-1","issue":"1","issued":{"date-parts":[["2023"]]},"page":"723-726","title":"Peningkatan kemampuan remaja dalam pencegahan anemia pada remaja putri di kabupaten bekasi","type":"article-journal","volume":"7"},"uris":["http://www.mendeley.com/documents/?uuid=e473af7a-fb2a-4d09-811f-3590bc25a3e5"]}],"mendeley":{"formattedCitation":"(Widaningsih, 2023)","plainTextFormattedCitation":"(Widaningsih, 2023)","previouslyFormattedCitation":"(Widaningsih, 2023)"},"properties":{"noteIndex":0},"schema":"https://github.com/citation-style-language/schema/raw/master/csl-citation.json"}</w:instrText>
      </w:r>
      <w:r w:rsidRPr="003B7FD1">
        <w:fldChar w:fldCharType="separate"/>
      </w:r>
      <w:r w:rsidRPr="003B7FD1">
        <w:rPr>
          <w:noProof/>
        </w:rPr>
        <w:t>(Widaningsih, 2023)</w:t>
      </w:r>
      <w:r w:rsidRPr="003B7FD1">
        <w:fldChar w:fldCharType="end"/>
      </w:r>
      <w:r w:rsidRPr="003B7FD1">
        <w:t>.</w:t>
      </w:r>
    </w:p>
    <w:p w14:paraId="39D8C8A2" w14:textId="0AC20F12" w:rsidR="003B7FD1" w:rsidRPr="00142F54" w:rsidRDefault="003B7FD1" w:rsidP="003B7FD1">
      <w:pPr>
        <w:pStyle w:val="ListParagraph"/>
        <w:ind w:firstLine="567"/>
        <w:jc w:val="both"/>
        <w:rPr>
          <w:lang w:val="en-US"/>
        </w:rPr>
      </w:pPr>
      <w:r w:rsidRPr="003B7FD1">
        <w:t xml:space="preserve">Anemia pada wanita di Indonesia yaitu sebesar 23,9%. Angka prevalensi anemia di Indonesia, yaitu pada remaja wanita sebesar 26,50%, pada wanita usia subur sebesar 26,9%, pada ibu hamil sebesar 40,1% dan pada balita sebesar 47,0%. Sedangkan Dari laporan Depkes prevalensi anemia pada remaja putri di Indonesia 30% dan pada remaja pria 21%. </w:t>
      </w:r>
      <w:r w:rsidR="00142F54" w:rsidRPr="00142F54">
        <w:rPr>
          <w:i/>
          <w:iCs/>
          <w:lang w:val="en-US"/>
        </w:rPr>
        <w:t>World Helath Organization</w:t>
      </w:r>
      <w:r w:rsidR="00142F54">
        <w:rPr>
          <w:lang w:val="en-US"/>
        </w:rPr>
        <w:t xml:space="preserve"> (WHO) prevalensi anemia pada Wanita usia reproduktif (15-49 tahun) di seluruh duniamencapai 29,9%.</w:t>
      </w:r>
    </w:p>
    <w:p w14:paraId="4C95D162" w14:textId="3FC3910C" w:rsidR="003B7FD1" w:rsidRPr="003B7FD1" w:rsidRDefault="003B7FD1" w:rsidP="003B7FD1">
      <w:pPr>
        <w:ind w:firstLine="567"/>
        <w:jc w:val="both"/>
      </w:pPr>
      <w:r w:rsidRPr="003B7FD1">
        <w:t xml:space="preserve">Anemia memiliki risiko yang lebih tinggi pada remaja puteri dibandingkan pada remaja putra dimana kebutuhan absorpsi zat besi pada remaja putri yang mengalami puncaknya pada umur 14- 15 tahun, sedangkan satu atau dua tahun berikutnya pada remaja putra </w:t>
      </w:r>
      <w:r w:rsidRPr="003B7FD1">
        <w:fldChar w:fldCharType="begin" w:fldLock="1"/>
      </w:r>
      <w:r w:rsidR="00145F98">
        <w:instrText>ADDIN CSL_CITATION {"citationItems":[{"id":"ITEM-1","itemData":{"ISSN":"2580-5207","author":[{"dropping-particle":"","family":"Sari","given":"Marlynda Happy Nurmalita","non-dropping-particle":"","parse-names":false,"suffix":""},{"dropping-particle":"","family":"Anggraini","given":"Dina Dewi","non-dropping-particle":"","parse-names":false,"suffix":""}],"container-title":"Jurnal Kebidanan dan Kesehatan Tradisional","id":"ITEM-1","issue":"2","issued":{"date-parts":[["2020"]]},"page":"135-143","title":"Analisis Sikap dan Pengetahuan terhadap Upaya Pencegahan Anemia pada Mahasiswa Bidan","type":"article-journal","volume":"5"},"uris":["http://www.mendeley.com/documents/?uuid=33a25800-2c03-48d4-85ac-f2f1d23709e2"]}],"mendeley":{"formattedCitation":"(Sari &amp; Anggraini, 2020)","plainTextFormattedCitation":"(Sari &amp; Anggraini, 2020)","previouslyFormattedCitation":"(Sari &amp; Anggraini, 2020)"},"properties":{"noteIndex":0},"schema":"https://github.com/citation-style-language/schema/raw/master/csl-citation.json"}</w:instrText>
      </w:r>
      <w:r w:rsidRPr="003B7FD1">
        <w:fldChar w:fldCharType="separate"/>
      </w:r>
      <w:r w:rsidR="00721CB3" w:rsidRPr="00721CB3">
        <w:rPr>
          <w:noProof/>
        </w:rPr>
        <w:t>(Sari &amp; Anggraini, 2020)</w:t>
      </w:r>
      <w:r w:rsidRPr="003B7FD1">
        <w:fldChar w:fldCharType="end"/>
      </w:r>
      <w:r w:rsidRPr="003B7FD1">
        <w:t xml:space="preserve">. Anemia adalah suatu keadaan menurunnya kadar hemoglobin, hematokrit, dan ukuran atau jumlah eritrosit dibawah normal. Penurunan ini dapat disebabkan oleh hilangnya darah yang terlalu cepat atau karena terlalu lambatnya produksi sel darah merah sehingga menyebabkan penurunan kapasitas sel darah merah untuk mengangkut oksigen </w:t>
      </w:r>
      <w:r w:rsidRPr="003B7FD1">
        <w:fldChar w:fldCharType="begin" w:fldLock="1"/>
      </w:r>
      <w:r w:rsidR="00145F98">
        <w:instrText>ADDIN CSL_CITATION {"citationItems":[{"id":"ITEM-1","itemData":{"ISSN":"2985-7295","author":[{"dropping-particle":"","family":"Rahayu","given":"Agustin","non-dropping-particle":"","parse-names":false,"suffix":""},{"dropping-particle":"","family":"Surasno","given":"Diah Merdekawati","non-dropping-particle":"","parse-names":false,"suffix":""},{"dropping-particle":"","family":"Andiani","given":"Andiani","non-dropping-particle":"","parse-names":false,"suffix":""},{"dropping-particle":"","family":"Mansyur","given":"Suryani","non-dropping-particle":"","parse-names":false,"suffix":""},{"dropping-particle":"","family":"Soamole","given":"Mayasari","non-dropping-particle":"","parse-names":false,"suffix":""},{"dropping-particle":"","family":"Musiana","given":"Musiana","non-dropping-particle":"","parse-names":false,"suffix":""},{"dropping-particle":"","family":"Nurhidayanti","given":"Siti","non-dropping-particle":"","parse-names":false,"suffix":""},{"dropping-particle":"","family":"Jafar","given":"Monissa A Hi","non-dropping-particle":"","parse-names":false,"suffix":""},{"dropping-particle":"","family":"Toduho","given":"Norma","non-dropping-particle":"","parse-names":false,"suffix":""},{"dropping-particle":"","family":"Sumiati","given":"Tati","non-dropping-particle":"","parse-names":false,"suffix":""}],"container-title":"Jurnal Medika: Medika","id":"ITEM-1","issue":"2","issued":{"date-parts":[["2024"]]},"page":"141-146","title":"Upaya Peningkatan Pengetahuan Pencegahan Anemia Remaja SMAS Muhammadiyah Kota Ternate","type":"article-journal","volume":"3"},"uris":["http://www.mendeley.com/documents/?uuid=13aec31c-0057-474a-bae6-7ae76a7d4370"]}],"mendeley":{"formattedCitation":"(Rahayu et al., 2024)","plainTextFormattedCitation":"(Rahayu et al., 2024)","previouslyFormattedCitation":"(Rahayu et al., 2024)"},"properties":{"noteIndex":0},"schema":"https://github.com/citation-style-language/schema/raw/master/csl-citation.json"}</w:instrText>
      </w:r>
      <w:r w:rsidRPr="003B7FD1">
        <w:fldChar w:fldCharType="separate"/>
      </w:r>
      <w:r w:rsidR="00721CB3" w:rsidRPr="00721CB3">
        <w:rPr>
          <w:noProof/>
        </w:rPr>
        <w:t>(Rahayu et al., 2024)</w:t>
      </w:r>
      <w:r w:rsidRPr="003B7FD1">
        <w:fldChar w:fldCharType="end"/>
      </w:r>
      <w:r w:rsidRPr="003B7FD1">
        <w:t xml:space="preserve">. Anemia masih merupakan masalah kesehatan utama masyarakat di dunia, khususnya di negara berkembang seperti Indonesia. Anemia gizi ditandai dengan rendahnya kadar hemoglobin yang dapat menimbulkan gejala lesu, lelah, lemah, letih, dan cepat lupa, yang akan berakibat menurunkan prestasi belajar, olahraga, dan produktifitas kerja. Selain itu, anemia gizi dapat menurunkan daya tahan tubuh sehingga tubuh mudah terserang infeksi </w:t>
      </w:r>
      <w:r w:rsidRPr="003B7FD1">
        <w:fldChar w:fldCharType="begin" w:fldLock="1"/>
      </w:r>
      <w:r w:rsidR="00145F98">
        <w:instrText>ADDIN CSL_CITATION {"citationItems":[{"id":"ITEM-1","itemData":{"ISSN":"2527-8185","author":[{"dropping-particle":"","family":"Pratama","given":"Rini Mustikasari Kurnia","non-dropping-particle":"","parse-names":false,"suffix":""},{"dropping-particle":"","family":"Antari","given":"Gladeva Yugi","non-dropping-particle":"","parse-names":false,"suffix":""},{"dropping-particle":"","family":"Handayani","given":"Ayu Mustika","non-dropping-particle":"","parse-names":false,"suffix":""},{"dropping-particle":"","family":"Permatasari","given":"Galuh","non-dropping-particle":"","parse-names":false,"suffix":""},{"dropping-particle":"","family":"Yuliastuti","given":"Luh Putu Sri","non-dropping-particle":"","parse-names":false,"suffix":""}],"container-title":"Jurnal Mutiara Kesehatan Masyarakat","id":"ITEM-1","issue":"2","issued":{"date-parts":[["2022"]]},"page":"144-150","title":"PENGARUH PENYULUHAN GIZI SEIMBANG TERHADAP PENGETAHUAN DAN SIKAP REMAJA","type":"article-journal","volume":"7"},"uris":["http://www.mendeley.com/documents/?uuid=88db26c3-8ad3-4dd8-989a-2c0250d3719b"]}],"mendeley":{"formattedCitation":"(Pratama et al., 2022)","plainTextFormattedCitation":"(Pratama et al., 2022)","previouslyFormattedCitation":"(Pratama et al., 2022)"},"properties":{"noteIndex":0},"schema":"https://github.com/citation-style-language/schema/raw/master/csl-citation.json"}</w:instrText>
      </w:r>
      <w:r w:rsidRPr="003B7FD1">
        <w:fldChar w:fldCharType="separate"/>
      </w:r>
      <w:r w:rsidR="00721CB3" w:rsidRPr="00721CB3">
        <w:rPr>
          <w:noProof/>
        </w:rPr>
        <w:t>(Pratama et al., 2022)</w:t>
      </w:r>
      <w:r w:rsidRPr="003B7FD1">
        <w:fldChar w:fldCharType="end"/>
      </w:r>
      <w:r w:rsidRPr="003B7FD1">
        <w:t>.</w:t>
      </w:r>
    </w:p>
    <w:p w14:paraId="2A8E70F9" w14:textId="73ADC2E7" w:rsidR="003B7FD1" w:rsidRPr="003B7FD1" w:rsidRDefault="003B7FD1" w:rsidP="003B7FD1">
      <w:pPr>
        <w:ind w:firstLine="567"/>
        <w:jc w:val="both"/>
      </w:pPr>
      <w:r w:rsidRPr="003B7FD1">
        <w:t xml:space="preserve">Dampak anemia pada remaja puteri akan memberikan kontribusi negatif bila hamil pada usia remaja ataupun saat dewasa yang dapat menyebabkan kelahiran bayi dengan berat badan bayi lahir rendah, kesakitan bahkan kematian pada </w:t>
      </w:r>
      <w:r w:rsidRPr="003B7FD1">
        <w:t xml:space="preserve">ibu dan bayi. Selain itu, anemia juga mempunyai dampak negatif terhadap perkembangan fisik dan kognitif remaja </w:t>
      </w:r>
      <w:r w:rsidRPr="003B7FD1">
        <w:fldChar w:fldCharType="begin" w:fldLock="1"/>
      </w:r>
      <w:r w:rsidR="00145F98">
        <w:instrText>ADDIN CSL_CITATION {"citationItems":[{"id":"ITEM-1","itemData":{"ISBN":"9781626239777","author":[{"dropping-particle":"","family":"Azizah","given":"Aliya Nur","non-dropping-particle":"","parse-names":false,"suffix":""},{"dropping-particle":"","family":"Maretta","given":"MY","non-dropping-particle":"","parse-names":false,"suffix":""},{"dropping-particle":"","family":"Andhikatias","given":"YR","non-dropping-particle":"","parse-names":false,"suffix":""},{"dropping-particle":"","family":"Putriningrum","given":"R","non-dropping-particle":"","parse-names":false,"suffix":""}],"container-title":"Jurnal Kusuma Husada","id":"ITEM-1","issued":{"date-parts":[["2023"]]},"title":"Efektivitas Edukasi Anemia Dan Konsumsi Kelakai Terhadap Pengetahuan Wanita Usia Subur (WUS) Dalam Persiapan Kehamilan","type":"article-journal"},"uris":["http://www.mendeley.com/documents/?uuid=ccb104be-abb1-4456-a11a-6f61c8559a63"]}],"mendeley":{"formattedCitation":"(Azizah et al., 2023)","plainTextFormattedCitation":"(Azizah et al., 2023)","previouslyFormattedCitation":"(Azizah et al., 2023)"},"properties":{"noteIndex":0},"schema":"https://github.com/citation-style-language/schema/raw/master/csl-citation.json"}</w:instrText>
      </w:r>
      <w:r w:rsidRPr="003B7FD1">
        <w:fldChar w:fldCharType="separate"/>
      </w:r>
      <w:r w:rsidR="00721CB3" w:rsidRPr="00721CB3">
        <w:rPr>
          <w:noProof/>
        </w:rPr>
        <w:t>(Azizah et al., 2023)</w:t>
      </w:r>
      <w:r w:rsidRPr="003B7FD1">
        <w:fldChar w:fldCharType="end"/>
      </w:r>
      <w:r w:rsidRPr="003B7FD1">
        <w:t xml:space="preserve">. Remaja putri merupakan kelompok risiko tinggi yang akanmengalami anemia dibandingkan remaja putra, dimana kebutuhan absorbsi zat besi memuncak pada umur 14-15 tahun pada remaja putri, sedangkan pada remaja putra satu atau dua tahun berikutnya </w:t>
      </w:r>
      <w:r w:rsidRPr="003B7FD1">
        <w:fldChar w:fldCharType="begin" w:fldLock="1"/>
      </w:r>
      <w:r w:rsidR="00145F98">
        <w:instrText>ADDIN CSL_CITATION {"citationItems":[{"id":"ITEM-1","itemData":{"ISSN":"2579-8103","author":[{"dropping-particle":"","family":"Syafriani","given":"Syelvi Eriva","non-dropping-particle":"","parse-names":false,"suffix":""},{"dropping-particle":"","family":"Zicof","given":"Erick","non-dropping-particle":"","parse-names":false,"suffix":""},{"dropping-particle":"","family":"Amos","given":"John","non-dropping-particle":"","parse-names":false,"suffix":""},{"dropping-particle":"","family":"Widdefrita","given":"Widdefrita","non-dropping-particle":"","parse-names":false,"suffix":""},{"dropping-particle":"","family":"Sidiq","given":"Rapitos","non-dropping-particle":"","parse-names":false,"suffix":""}],"container-title":"JURNAL RISET KESEHATAN POLTEKKES DEPKES BANDUNG","id":"ITEM-1","issue":"2","issued":{"date-parts":[["2024"]]},"page":"622-630","title":"PERBEDAAN PENGETAHUAN DAN SIKAP REMAJA PUTRI DALAM PENCEGAHAN ANEMIA MELALUI MEDIA LUDO","type":"article-journal","volume":"16"},"uris":["http://www.mendeley.com/documents/?uuid=b070f109-880e-4ea7-87b1-0245cd3e3f03"]}],"mendeley":{"formattedCitation":"(Syafriani et al., 2024)","plainTextFormattedCitation":"(Syafriani et al., 2024)","previouslyFormattedCitation":"(Syafriani et al., 2024)"},"properties":{"noteIndex":0},"schema":"https://github.com/citation-style-language/schema/raw/master/csl-citation.json"}</w:instrText>
      </w:r>
      <w:r w:rsidRPr="003B7FD1">
        <w:fldChar w:fldCharType="separate"/>
      </w:r>
      <w:r w:rsidR="00721CB3" w:rsidRPr="00721CB3">
        <w:rPr>
          <w:noProof/>
        </w:rPr>
        <w:t>(Syafriani et al., 2024)</w:t>
      </w:r>
      <w:r w:rsidRPr="003B7FD1">
        <w:fldChar w:fldCharType="end"/>
      </w:r>
      <w:r w:rsidRPr="003B7FD1">
        <w:t xml:space="preserve">. Selain itu, remaja putri mengalami pengurangan volume darah ketika mengalami menstruasi. Penyebab anemia gizi dari asupan makan adalah kurangnya asupan zat besi, Vitamin B12, vitamin C, dan asam folat, yang ditandai dengan penurunan kadar hemoglobin atau kadar hemoglobin </w:t>
      </w:r>
      <w:r w:rsidRPr="003B7FD1">
        <w:fldChar w:fldCharType="begin" w:fldLock="1"/>
      </w:r>
      <w:r w:rsidR="00145F98">
        <w:instrText>ADDIN CSL_CITATION {"citationItems":[{"id":"ITEM-1","itemData":{"ISSN":"2527-8185","author":[{"dropping-particle":"","family":"Pratama","given":"Rini Mustikasari Kurnia","non-dropping-particle":"","parse-names":false,"suffix":""},{"dropping-particle":"","family":"Antari","given":"Gladeva Yugi","non-dropping-particle":"","parse-names":false,"suffix":""},{"dropping-particle":"","family":"Handayani","given":"Ayu Mustika","non-dropping-particle":"","parse-names":false,"suffix":""},{"dropping-particle":"","family":"Permatasari","given":"Galuh","non-dropping-particle":"","parse-names":false,"suffix":""},{"dropping-particle":"","family":"Yuliastuti","given":"Luh Putu Sri","non-dropping-particle":"","parse-names":false,"suffix":""}],"container-title":"Jurnal Mutiara Kesehatan Masyarakat","id":"ITEM-1","issue":"2","issued":{"date-parts":[["2022"]]},"page":"144-150","title":"PENGARUH PENYULUHAN GIZI SEIMBANG TERHADAP PENGETAHUAN DAN SIKAP REMAJA","type":"article-journal","volume":"7"},"uris":["http://www.mendeley.com/documents/?uuid=88db26c3-8ad3-4dd8-989a-2c0250d3719b"]}],"mendeley":{"formattedCitation":"(Pratama et al., 2022)","plainTextFormattedCitation":"(Pratama et al., 2022)","previouslyFormattedCitation":"(Pratama et al., 2022)"},"properties":{"noteIndex":0},"schema":"https://github.com/citation-style-language/schema/raw/master/csl-citation.json"}</w:instrText>
      </w:r>
      <w:r w:rsidRPr="003B7FD1">
        <w:fldChar w:fldCharType="separate"/>
      </w:r>
      <w:r w:rsidR="00721CB3" w:rsidRPr="00721CB3">
        <w:rPr>
          <w:noProof/>
        </w:rPr>
        <w:t>(Pratama et al., 2022)</w:t>
      </w:r>
      <w:r w:rsidRPr="003B7FD1">
        <w:fldChar w:fldCharType="end"/>
      </w:r>
      <w:r w:rsidRPr="003B7FD1">
        <w:t>.</w:t>
      </w:r>
    </w:p>
    <w:p w14:paraId="3590C82A" w14:textId="25584E94" w:rsidR="003B7FD1" w:rsidRPr="003B7FD1" w:rsidRDefault="003B7FD1" w:rsidP="003B7FD1">
      <w:pPr>
        <w:pStyle w:val="ListParagraph"/>
        <w:ind w:firstLine="633"/>
        <w:jc w:val="both"/>
        <w:rPr>
          <w:lang w:val="id-ID" w:eastAsia="id-ID"/>
        </w:rPr>
      </w:pPr>
      <w:r w:rsidRPr="003B7FD1">
        <w:rPr>
          <w:lang w:val="id-ID" w:eastAsia="id-ID"/>
        </w:rPr>
        <w:t>Rendahnya pengetahuan</w:t>
      </w:r>
      <w:r w:rsidRPr="003B7FD1">
        <w:rPr>
          <w:lang w:eastAsia="id-ID"/>
        </w:rPr>
        <w:t xml:space="preserve"> </w:t>
      </w:r>
      <w:r w:rsidRPr="003B7FD1">
        <w:rPr>
          <w:lang w:val="id-ID" w:eastAsia="id-ID"/>
        </w:rPr>
        <w:t>remaja terhadap anemia</w:t>
      </w:r>
      <w:r w:rsidRPr="003B7FD1">
        <w:rPr>
          <w:lang w:eastAsia="id-ID"/>
        </w:rPr>
        <w:t xml:space="preserve"> </w:t>
      </w:r>
      <w:r w:rsidRPr="003B7FD1">
        <w:rPr>
          <w:lang w:val="id-ID" w:eastAsia="id-ID"/>
        </w:rPr>
        <w:t>berpengaruh pada</w:t>
      </w:r>
      <w:r w:rsidRPr="003B7FD1">
        <w:rPr>
          <w:lang w:eastAsia="id-ID"/>
        </w:rPr>
        <w:t xml:space="preserve"> </w:t>
      </w:r>
      <w:r w:rsidRPr="003B7FD1">
        <w:rPr>
          <w:lang w:val="id-ID" w:eastAsia="id-ID"/>
        </w:rPr>
        <w:t>kurangnya perhatian remaja dalam pemilihan makanan dan pencegahan masalah kesehatan terutama anemia. Hal tersebut pada akhirnya akan meningkatkan risiko anemia pada remaja. Masalah yang timbul akibat anem</w:t>
      </w:r>
      <w:r w:rsidRPr="003B7FD1">
        <w:rPr>
          <w:lang w:eastAsia="id-ID"/>
        </w:rPr>
        <w:t>i</w:t>
      </w:r>
      <w:r w:rsidRPr="003B7FD1">
        <w:rPr>
          <w:lang w:val="id-ID" w:eastAsia="id-ID"/>
        </w:rPr>
        <w:t>a ini</w:t>
      </w:r>
      <w:r w:rsidRPr="003B7FD1">
        <w:rPr>
          <w:lang w:eastAsia="id-ID"/>
        </w:rPr>
        <w:t xml:space="preserve"> </w:t>
      </w:r>
      <w:r w:rsidRPr="003B7FD1">
        <w:rPr>
          <w:lang w:val="id-ID" w:eastAsia="id-ID"/>
        </w:rPr>
        <w:t>antara lain</w:t>
      </w:r>
      <w:r w:rsidRPr="003B7FD1">
        <w:rPr>
          <w:lang w:eastAsia="id-ID"/>
        </w:rPr>
        <w:t xml:space="preserve"> </w:t>
      </w:r>
      <w:r w:rsidRPr="003B7FD1">
        <w:rPr>
          <w:lang w:val="id-ID" w:eastAsia="id-ID"/>
        </w:rPr>
        <w:t>badan lemas, kelelahan,penurunan fungsi kognitif dan produktivitas</w:t>
      </w:r>
      <w:r w:rsidRPr="003B7FD1">
        <w:rPr>
          <w:lang w:eastAsia="id-ID"/>
        </w:rPr>
        <w:t xml:space="preserve"> </w:t>
      </w:r>
      <w:r w:rsidRPr="003B7FD1">
        <w:rPr>
          <w:lang w:val="id-ID" w:eastAsia="id-ID"/>
        </w:rPr>
        <w:t>kerja, serta peningkatan</w:t>
      </w:r>
      <w:r w:rsidRPr="003B7FD1">
        <w:rPr>
          <w:lang w:eastAsia="id-ID"/>
        </w:rPr>
        <w:t xml:space="preserve"> </w:t>
      </w:r>
      <w:r w:rsidRPr="003B7FD1">
        <w:rPr>
          <w:lang w:val="id-ID" w:eastAsia="id-ID"/>
        </w:rPr>
        <w:t>risiko menderita anemia saat hamil nantinya</w:t>
      </w:r>
      <w:r w:rsidRPr="003B7FD1">
        <w:rPr>
          <w:lang w:eastAsia="id-ID"/>
        </w:rPr>
        <w:t xml:space="preserve"> </w:t>
      </w:r>
      <w:r w:rsidRPr="003B7FD1">
        <w:rPr>
          <w:lang w:eastAsia="id-ID"/>
        </w:rPr>
        <w:fldChar w:fldCharType="begin" w:fldLock="1"/>
      </w:r>
      <w:r w:rsidR="00145F98">
        <w:rPr>
          <w:lang w:eastAsia="id-ID"/>
        </w:rPr>
        <w:instrText>ADDIN CSL_CITATION {"citationItems":[{"id":"ITEM-1","itemData":{"ISSN":"2597-8667","author":[{"dropping-particle":"","family":"Adyani","given":"Kartika","non-dropping-particle":"","parse-names":false,"suffix":""},{"dropping-particle":"","family":"Apriliana","given":"Shinta Dwi","non-dropping-particle":"","parse-names":false,"suffix":""},{"dropping-particle":"","family":"Susilowati","given":"Endang","non-dropping-particle":"","parse-names":false,"suffix":""}],"container-title":"Faletehan Health Journal","id":"ITEM-1","issue":"02","issued":{"date-parts":[["2024"]]},"page":"126-134","title":"Pengaruh Media Edukasi terhadap Pengetahuan Remaja Putri tentang Anemia: Literature Review","type":"article-journal","volume":"11"},"uris":["http://www.mendeley.com/documents/?uuid=691ebc9c-e636-4365-9c26-c5142b4d6e3e"]}],"mendeley":{"formattedCitation":"(Adyani et al., 2024)","plainTextFormattedCitation":"(Adyani et al., 2024)","previouslyFormattedCitation":"(Adyani et al., 2024)"},"properties":{"noteIndex":0},"schema":"https://github.com/citation-style-language/schema/raw/master/csl-citation.json"}</w:instrText>
      </w:r>
      <w:r w:rsidRPr="003B7FD1">
        <w:rPr>
          <w:lang w:eastAsia="id-ID"/>
        </w:rPr>
        <w:fldChar w:fldCharType="separate"/>
      </w:r>
      <w:r w:rsidR="00721CB3" w:rsidRPr="00721CB3">
        <w:rPr>
          <w:noProof/>
          <w:lang w:eastAsia="id-ID"/>
        </w:rPr>
        <w:t>(Adyani et al., 2024)</w:t>
      </w:r>
      <w:r w:rsidRPr="003B7FD1">
        <w:rPr>
          <w:lang w:eastAsia="id-ID"/>
        </w:rPr>
        <w:fldChar w:fldCharType="end"/>
      </w:r>
      <w:r w:rsidRPr="003B7FD1">
        <w:rPr>
          <w:lang w:val="id-ID" w:eastAsia="id-ID"/>
        </w:rPr>
        <w:t>.</w:t>
      </w:r>
      <w:r w:rsidRPr="003B7FD1">
        <w:rPr>
          <w:lang w:eastAsia="id-ID"/>
        </w:rPr>
        <w:t xml:space="preserve"> </w:t>
      </w:r>
      <w:r w:rsidRPr="003B7FD1">
        <w:rPr>
          <w:lang w:val="id-ID" w:eastAsia="id-ID"/>
        </w:rPr>
        <w:t>Minimnya pengetahuan tentang anemia di kalangan remaja wanita membuat banyak dari mereka kurang baik dalam mengatur pola makan</w:t>
      </w:r>
      <w:r w:rsidRPr="003B7FD1">
        <w:rPr>
          <w:lang w:eastAsia="id-ID"/>
        </w:rPr>
        <w:t xml:space="preserve"> </w:t>
      </w:r>
      <w:r w:rsidRPr="003B7FD1">
        <w:rPr>
          <w:lang w:val="id-ID" w:eastAsia="id-ID"/>
        </w:rPr>
        <w:t>sehingga terjadi sikap dan perilaku pencegahan</w:t>
      </w:r>
      <w:r w:rsidRPr="003B7FD1">
        <w:rPr>
          <w:lang w:eastAsia="id-ID"/>
        </w:rPr>
        <w:t xml:space="preserve"> </w:t>
      </w:r>
      <w:r w:rsidRPr="003B7FD1">
        <w:rPr>
          <w:lang w:val="id-ID" w:eastAsia="id-ID"/>
        </w:rPr>
        <w:t>anemia yang kurang baik. Perubahan perilaku tidak selalu disebabkan oleh peningkatan pengetahuan sehingga remaja wanita</w:t>
      </w:r>
      <w:r w:rsidRPr="003B7FD1">
        <w:rPr>
          <w:lang w:eastAsia="id-ID"/>
        </w:rPr>
        <w:t xml:space="preserve"> </w:t>
      </w:r>
      <w:r w:rsidRPr="003B7FD1">
        <w:rPr>
          <w:lang w:val="id-ID" w:eastAsia="id-ID"/>
        </w:rPr>
        <w:t>yang memiliki wawasan</w:t>
      </w:r>
      <w:r w:rsidRPr="003B7FD1">
        <w:rPr>
          <w:lang w:eastAsia="id-ID"/>
        </w:rPr>
        <w:t xml:space="preserve"> </w:t>
      </w:r>
      <w:r w:rsidRPr="003B7FD1">
        <w:rPr>
          <w:lang w:val="id-ID" w:eastAsia="id-ID"/>
        </w:rPr>
        <w:t>baik terhadap anemia belum tentu baik dalam berp</w:t>
      </w:r>
      <w:r w:rsidRPr="003B7FD1">
        <w:rPr>
          <w:lang w:eastAsia="id-ID"/>
        </w:rPr>
        <w:t>e</w:t>
      </w:r>
      <w:r w:rsidRPr="003B7FD1">
        <w:rPr>
          <w:lang w:val="id-ID" w:eastAsia="id-ID"/>
        </w:rPr>
        <w:t>rilaku mencegah anemia</w:t>
      </w:r>
      <w:r w:rsidRPr="003B7FD1">
        <w:rPr>
          <w:lang w:eastAsia="id-ID"/>
        </w:rPr>
        <w:t xml:space="preserve"> </w:t>
      </w:r>
      <w:r w:rsidRPr="003B7FD1">
        <w:rPr>
          <w:lang w:eastAsia="id-ID"/>
        </w:rPr>
        <w:fldChar w:fldCharType="begin" w:fldLock="1"/>
      </w:r>
      <w:r w:rsidR="00145F98">
        <w:rPr>
          <w:lang w:eastAsia="id-ID"/>
        </w:rPr>
        <w:instrText>ADDIN CSL_CITATION {"citationItems":[{"id":"ITEM-1","itemData":{"ISSN":"2963-8534","author":[{"dropping-particle":"","family":"Fatimatasari","given":"Fatimatasari","non-dropping-particle":"","parse-names":false,"suffix":""},{"dropping-particle":"","family":"Indrianasari","given":"Silvia","non-dropping-particle":"","parse-names":false,"suffix":""},{"dropping-particle":"","family":"Choirunnisa","given":"Luthvita Fitria","non-dropping-particle":"","parse-names":false,"suffix":""},{"dropping-particle":"","family":"Putri","given":"Audy Fidarova","non-dropping-particle":"","parse-names":false,"suffix":""},{"dropping-particle":"","family":"Aldila","given":"Isna","non-dropping-particle":"","parse-names":false,"suffix":""}],"container-title":"Jurnal Pengabdian Masyarakat Jajama (JPMJ)","id":"ITEM-1","issue":"1","issued":{"date-parts":[["2024"]]},"page":"34-41","title":"Sosialisasi pencegahan anemia pada remaja putri di Desa Banyurojo sebagai upaya pencegahan stunting sejak dini di Kecamatan Mertoyudan Kabupaten Magelang","type":"article-journal","volume":"3"},"uris":["http://www.mendeley.com/documents/?uuid=25a9af2e-58f4-49bc-9ef8-e602537d3b86"]},{"id":"ITEM-2","itemData":{"ISSN":"2963-5268","author":[{"dropping-particle":"","family":"Tunny","given":"Rahma","non-dropping-particle":"","parse-names":false,"suffix":""},{"dropping-particle":"","family":"Umagapi","given":"Fitria","non-dropping-particle":"","parse-names":false,"suffix":""},{"dropping-particle":"","family":"Astuti","given":"Asih Dwi","non-dropping-particle":"","parse-names":false,"suffix":""}],"container-title":"Karunia: Jurnal Hasil Pengabdian Masyarakat Indonesia","id":"ITEM-2","issue":"2","issued":{"date-parts":[["2024"]]},"page":"213-221","title":"Peningkatan Pengetahuan Melalui Edukasi Kesehatan Tentang Pentingnya Pencegahan Anemia Pada Remaja di Mts. Al-Muhajirin Ambon","type":"article-journal","volume":"3"},"uris":["http://www.mendeley.com/documents/?uuid=8a02dbef-4fe2-4ef6-a5ac-9dedd2d9f6f9"]}],"mendeley":{"formattedCitation":"(Fatimatasari et al., 2024; Tunny et al., 2024)","plainTextFormattedCitation":"(Fatimatasari et al., 2024; Tunny et al., 2024)","previouslyFormattedCitation":"(Fatimatasari et al., 2024; Tunny et al., 2024)"},"properties":{"noteIndex":0},"schema":"https://github.com/citation-style-language/schema/raw/master/csl-citation.json"}</w:instrText>
      </w:r>
      <w:r w:rsidRPr="003B7FD1">
        <w:rPr>
          <w:lang w:eastAsia="id-ID"/>
        </w:rPr>
        <w:fldChar w:fldCharType="separate"/>
      </w:r>
      <w:r w:rsidR="00721CB3" w:rsidRPr="00721CB3">
        <w:rPr>
          <w:noProof/>
          <w:lang w:eastAsia="id-ID"/>
        </w:rPr>
        <w:t>(Fatimatasari et al., 2024; Tunny et al., 2024)</w:t>
      </w:r>
      <w:r w:rsidRPr="003B7FD1">
        <w:rPr>
          <w:lang w:eastAsia="id-ID"/>
        </w:rPr>
        <w:fldChar w:fldCharType="end"/>
      </w:r>
      <w:r w:rsidRPr="003B7FD1">
        <w:rPr>
          <w:lang w:val="id-ID" w:eastAsia="id-ID"/>
        </w:rPr>
        <w:t>.</w:t>
      </w:r>
      <w:r w:rsidRPr="003B7FD1">
        <w:rPr>
          <w:lang w:eastAsia="id-ID"/>
        </w:rPr>
        <w:t xml:space="preserve"> </w:t>
      </w:r>
    </w:p>
    <w:p w14:paraId="0E5BC695" w14:textId="77777777" w:rsidR="003B7FD1" w:rsidRPr="003B7FD1" w:rsidRDefault="003B7FD1" w:rsidP="00721CB3">
      <w:pPr>
        <w:pStyle w:val="ListParagraph"/>
        <w:ind w:firstLine="633"/>
        <w:jc w:val="both"/>
      </w:pPr>
      <w:r w:rsidRPr="003B7FD1">
        <w:t>Berdasarkan studi pendahuluan yang dilakukan terhadap siswi di SMPN 19 Muaro Jambi dengan melakukan wawancara dan pemeriksaan hemoglobin terhadap 13 orang siswi didapatkan 9 orang siswi (69,2%) menderita anemia, dan 11 orang siswi (84,6%) memiliki gejala sering pusing, berkunang-kunang, terutama menjelang dan saat menstruasi, dan mudah lelah. Pihak sekolah juga belum pernah mengadakan edukasi pencegahan anemia di sekolah.</w:t>
      </w:r>
    </w:p>
    <w:p w14:paraId="0756511D" w14:textId="12AC6E20" w:rsidR="007B449A" w:rsidRDefault="003B7FD1" w:rsidP="00721CB3">
      <w:pPr>
        <w:pStyle w:val="BodyText"/>
        <w:ind w:left="112" w:right="38" w:firstLine="568"/>
        <w:jc w:val="both"/>
      </w:pPr>
      <w:r w:rsidRPr="003B7FD1">
        <w:t>Berdasarkan masalah tersebut, peneliti tertarik melakukan penelitian mengenai “</w:t>
      </w:r>
      <w:r w:rsidRPr="003B7FD1">
        <w:rPr>
          <w:noProof/>
        </w:rPr>
        <w:t>hubungan pengetahuan dan sikap remaja puteri terhadap pencegahan anemia di SMPN 19 Muaro Jambi</w:t>
      </w:r>
      <w:r w:rsidRPr="003B7FD1">
        <w:t>”.</w:t>
      </w:r>
    </w:p>
    <w:p w14:paraId="7C096F1A" w14:textId="77777777" w:rsidR="003B7FD1" w:rsidRDefault="003B7FD1" w:rsidP="00721CB3">
      <w:pPr>
        <w:pStyle w:val="BodyText"/>
        <w:ind w:left="112" w:right="38" w:firstLine="568"/>
        <w:jc w:val="both"/>
      </w:pPr>
    </w:p>
    <w:p w14:paraId="51EF1297" w14:textId="77777777" w:rsidR="00721CB3" w:rsidRDefault="00721CB3" w:rsidP="00721CB3">
      <w:pPr>
        <w:pStyle w:val="Heading1"/>
      </w:pPr>
      <w:r>
        <w:t>METODE</w:t>
      </w:r>
      <w:r>
        <w:rPr>
          <w:spacing w:val="-3"/>
        </w:rPr>
        <w:t xml:space="preserve"> </w:t>
      </w:r>
      <w:r>
        <w:rPr>
          <w:spacing w:val="-2"/>
        </w:rPr>
        <w:t>PENELITIAN</w:t>
      </w:r>
    </w:p>
    <w:p w14:paraId="77F713CE" w14:textId="6031FCF6" w:rsidR="00721CB3" w:rsidRPr="00142F54" w:rsidRDefault="00721CB3" w:rsidP="00721CB3">
      <w:pPr>
        <w:pStyle w:val="BodyText"/>
        <w:ind w:left="112" w:right="38" w:firstLine="568"/>
        <w:jc w:val="both"/>
        <w:rPr>
          <w:lang w:val="en-US"/>
        </w:rPr>
      </w:pPr>
      <w:r w:rsidRPr="00721CB3">
        <w:t xml:space="preserve">Penelitian ini bersifat </w:t>
      </w:r>
      <w:r w:rsidRPr="00721CB3">
        <w:rPr>
          <w:i/>
          <w:iCs/>
        </w:rPr>
        <w:t>suvey analitik</w:t>
      </w:r>
      <w:r w:rsidRPr="00721CB3">
        <w:t xml:space="preserve"> dengan pendekatan </w:t>
      </w:r>
      <w:r w:rsidRPr="00721CB3">
        <w:rPr>
          <w:i/>
          <w:iCs/>
        </w:rPr>
        <w:t>cross sectional</w:t>
      </w:r>
      <w:r w:rsidRPr="00721CB3">
        <w:t xml:space="preserve">. Tempat penelitian di </w:t>
      </w:r>
      <w:r w:rsidRPr="00721CB3">
        <w:lastRenderedPageBreak/>
        <w:t xml:space="preserve">SMPN 19 Muaro Jambi. Populasi yang digunakan adalah </w:t>
      </w:r>
      <w:bookmarkStart w:id="0" w:name="_Hlk134627674"/>
      <w:r w:rsidRPr="00721CB3">
        <w:t>seluruh siswi di SMPN 19 Muaro Jambi sebanyak 46 orang</w:t>
      </w:r>
      <w:bookmarkEnd w:id="0"/>
      <w:r w:rsidRPr="00721CB3">
        <w:t xml:space="preserve">, dengan teknik pengambilan sampel menggunakan </w:t>
      </w:r>
      <w:r w:rsidRPr="00721CB3">
        <w:rPr>
          <w:i/>
          <w:iCs/>
        </w:rPr>
        <w:t>total sampling</w:t>
      </w:r>
      <w:r w:rsidRPr="00721CB3">
        <w:t xml:space="preserve">. Analisa data </w:t>
      </w:r>
      <w:r w:rsidR="00142F54">
        <w:rPr>
          <w:lang w:val="en-US"/>
        </w:rPr>
        <w:t xml:space="preserve">menggunakan analisis univariat dan bivariat. Analisis univariat disajikan dalam bentuk distribusi frekuensi sedangkan analisis bivariat </w:t>
      </w:r>
      <w:r w:rsidRPr="00721CB3">
        <w:t>menggunakan chi-square</w:t>
      </w:r>
      <w:r w:rsidR="00142F54">
        <w:rPr>
          <w:lang w:val="en-US"/>
        </w:rPr>
        <w:t>, yang disajikan dalam bentuk tabel dan narasi,</w:t>
      </w:r>
    </w:p>
    <w:p w14:paraId="5BA91866" w14:textId="1BFFA4A6" w:rsidR="00721CB3" w:rsidRDefault="00721CB3" w:rsidP="00721CB3">
      <w:pPr>
        <w:pStyle w:val="BodyText"/>
        <w:ind w:left="112" w:right="38" w:firstLine="568"/>
        <w:jc w:val="both"/>
      </w:pPr>
    </w:p>
    <w:p w14:paraId="0119F054" w14:textId="1E0A8E67" w:rsidR="00721CB3" w:rsidRDefault="00721CB3" w:rsidP="00721CB3">
      <w:pPr>
        <w:pStyle w:val="BodyText"/>
        <w:spacing w:before="5"/>
        <w:rPr>
          <w:sz w:val="11"/>
        </w:rPr>
      </w:pPr>
    </w:p>
    <w:p w14:paraId="15726DA0" w14:textId="5B256FE0" w:rsidR="007B449A" w:rsidRDefault="00721CB3" w:rsidP="00721CB3">
      <w:pPr>
        <w:pStyle w:val="Heading1"/>
        <w:spacing w:line="252" w:lineRule="exact"/>
      </w:pPr>
      <w:r>
        <w:br w:type="column"/>
      </w:r>
      <w:r>
        <w:t>HASIL</w:t>
      </w:r>
      <w:r>
        <w:rPr>
          <w:spacing w:val="-4"/>
        </w:rPr>
        <w:t xml:space="preserve"> </w:t>
      </w:r>
      <w:r>
        <w:rPr>
          <w:spacing w:val="-2"/>
        </w:rPr>
        <w:t>PENELITIAN</w:t>
      </w:r>
    </w:p>
    <w:p w14:paraId="146AADDA" w14:textId="77777777" w:rsidR="00721CB3" w:rsidRPr="00721CB3" w:rsidRDefault="00721CB3" w:rsidP="00721CB3">
      <w:pPr>
        <w:ind w:firstLine="581"/>
        <w:jc w:val="both"/>
        <w:rPr>
          <w:sz w:val="24"/>
          <w:szCs w:val="24"/>
        </w:rPr>
      </w:pPr>
      <w:r w:rsidRPr="00721CB3">
        <w:rPr>
          <w:sz w:val="24"/>
          <w:szCs w:val="24"/>
        </w:rPr>
        <w:t>Hasil penelitian tentang hubungan pengetahuan dan sikap remaja puteri terhadap pencegahan anemia di SMPN 19 Muaro Jambi disajikan dalam bentuk presentase sebagai berikut:</w:t>
      </w:r>
    </w:p>
    <w:p w14:paraId="5B9C50EC" w14:textId="77777777" w:rsidR="00721CB3" w:rsidRPr="00721CB3" w:rsidRDefault="00721CB3" w:rsidP="00721CB3">
      <w:pPr>
        <w:ind w:left="270" w:firstLine="581"/>
        <w:jc w:val="both"/>
        <w:rPr>
          <w:sz w:val="24"/>
          <w:szCs w:val="24"/>
        </w:rPr>
      </w:pPr>
      <w:r w:rsidRPr="00721CB3">
        <w:rPr>
          <w:sz w:val="24"/>
          <w:szCs w:val="24"/>
        </w:rPr>
        <w:t xml:space="preserve"> </w:t>
      </w:r>
    </w:p>
    <w:p w14:paraId="16D94794" w14:textId="77777777" w:rsidR="00721CB3" w:rsidRPr="00142F54" w:rsidRDefault="00721CB3" w:rsidP="00721CB3">
      <w:pPr>
        <w:ind w:left="270"/>
        <w:jc w:val="both"/>
        <w:rPr>
          <w:b/>
          <w:bCs/>
          <w:sz w:val="24"/>
          <w:szCs w:val="24"/>
        </w:rPr>
      </w:pPr>
      <w:r w:rsidRPr="00142F54">
        <w:rPr>
          <w:b/>
          <w:bCs/>
          <w:sz w:val="24"/>
          <w:szCs w:val="24"/>
        </w:rPr>
        <w:t>Tabel 1. Distribusi Frekuensi Variabel</w:t>
      </w:r>
    </w:p>
    <w:tbl>
      <w:tblPr>
        <w:tblW w:w="4111" w:type="dxa"/>
        <w:tblBorders>
          <w:top w:val="single" w:sz="4" w:space="0" w:color="auto"/>
          <w:bottom w:val="single" w:sz="4" w:space="0" w:color="auto"/>
          <w:insideH w:val="single" w:sz="4" w:space="0" w:color="auto"/>
        </w:tblBorders>
        <w:tblLook w:val="04A0" w:firstRow="1" w:lastRow="0" w:firstColumn="1" w:lastColumn="0" w:noHBand="0" w:noVBand="1"/>
      </w:tblPr>
      <w:tblGrid>
        <w:gridCol w:w="1443"/>
        <w:gridCol w:w="1382"/>
        <w:gridCol w:w="456"/>
        <w:gridCol w:w="830"/>
      </w:tblGrid>
      <w:tr w:rsidR="00721CB3" w:rsidRPr="00142F54" w14:paraId="0DFD2C19" w14:textId="77777777" w:rsidTr="00253848">
        <w:tc>
          <w:tcPr>
            <w:tcW w:w="1443" w:type="dxa"/>
            <w:tcBorders>
              <w:bottom w:val="single" w:sz="4" w:space="0" w:color="auto"/>
            </w:tcBorders>
          </w:tcPr>
          <w:p w14:paraId="289BA413" w14:textId="77777777" w:rsidR="00721CB3" w:rsidRPr="00142F54" w:rsidRDefault="00721CB3" w:rsidP="00253848">
            <w:pPr>
              <w:pStyle w:val="TabelSNFUM2015"/>
              <w:rPr>
                <w:rFonts w:ascii="Times New Roman" w:hAnsi="Times New Roman"/>
                <w:b/>
                <w:bCs/>
                <w:sz w:val="24"/>
                <w:szCs w:val="24"/>
                <w:lang w:val="id-ID"/>
              </w:rPr>
            </w:pPr>
            <w:r w:rsidRPr="00142F54">
              <w:rPr>
                <w:rFonts w:ascii="Times New Roman" w:hAnsi="Times New Roman"/>
                <w:b/>
                <w:bCs/>
                <w:sz w:val="24"/>
                <w:szCs w:val="24"/>
                <w:lang w:val="id-ID"/>
              </w:rPr>
              <w:t>No.</w:t>
            </w:r>
          </w:p>
        </w:tc>
        <w:tc>
          <w:tcPr>
            <w:tcW w:w="1382" w:type="dxa"/>
            <w:tcBorders>
              <w:bottom w:val="single" w:sz="4" w:space="0" w:color="auto"/>
            </w:tcBorders>
          </w:tcPr>
          <w:p w14:paraId="75F2464A" w14:textId="77777777" w:rsidR="00721CB3" w:rsidRPr="00142F54" w:rsidRDefault="00721CB3" w:rsidP="00253848">
            <w:pPr>
              <w:pStyle w:val="TabelSNFUM2015"/>
              <w:rPr>
                <w:rFonts w:ascii="Times New Roman" w:hAnsi="Times New Roman"/>
                <w:b/>
                <w:bCs/>
                <w:sz w:val="24"/>
                <w:szCs w:val="24"/>
              </w:rPr>
            </w:pPr>
            <w:r w:rsidRPr="00142F54">
              <w:rPr>
                <w:rFonts w:ascii="Times New Roman" w:hAnsi="Times New Roman"/>
                <w:b/>
                <w:bCs/>
                <w:sz w:val="24"/>
                <w:szCs w:val="24"/>
              </w:rPr>
              <w:t>Variabel</w:t>
            </w:r>
          </w:p>
        </w:tc>
        <w:tc>
          <w:tcPr>
            <w:tcW w:w="456" w:type="dxa"/>
            <w:tcBorders>
              <w:bottom w:val="single" w:sz="4" w:space="0" w:color="auto"/>
            </w:tcBorders>
          </w:tcPr>
          <w:p w14:paraId="6A7F7978" w14:textId="77777777" w:rsidR="00721CB3" w:rsidRPr="00142F54" w:rsidRDefault="00721CB3" w:rsidP="00253848">
            <w:pPr>
              <w:pStyle w:val="TabelSNFUM2015"/>
              <w:rPr>
                <w:rFonts w:ascii="Times New Roman" w:hAnsi="Times New Roman"/>
                <w:b/>
                <w:bCs/>
                <w:sz w:val="24"/>
                <w:szCs w:val="24"/>
              </w:rPr>
            </w:pPr>
            <w:r w:rsidRPr="00142F54">
              <w:rPr>
                <w:rFonts w:ascii="Times New Roman" w:hAnsi="Times New Roman"/>
                <w:b/>
                <w:bCs/>
                <w:sz w:val="24"/>
                <w:szCs w:val="24"/>
              </w:rPr>
              <w:t>F</w:t>
            </w:r>
          </w:p>
        </w:tc>
        <w:tc>
          <w:tcPr>
            <w:tcW w:w="830" w:type="dxa"/>
            <w:tcBorders>
              <w:bottom w:val="single" w:sz="4" w:space="0" w:color="auto"/>
            </w:tcBorders>
          </w:tcPr>
          <w:p w14:paraId="3763E2B6" w14:textId="77777777" w:rsidR="00721CB3" w:rsidRPr="00142F54" w:rsidRDefault="00721CB3" w:rsidP="00253848">
            <w:pPr>
              <w:pStyle w:val="TabelSNFUM2015"/>
              <w:rPr>
                <w:rFonts w:ascii="Times New Roman" w:hAnsi="Times New Roman"/>
                <w:b/>
                <w:bCs/>
                <w:sz w:val="24"/>
                <w:szCs w:val="24"/>
              </w:rPr>
            </w:pPr>
            <w:r w:rsidRPr="00142F54">
              <w:rPr>
                <w:rFonts w:ascii="Times New Roman" w:hAnsi="Times New Roman"/>
                <w:b/>
                <w:bCs/>
                <w:sz w:val="24"/>
                <w:szCs w:val="24"/>
              </w:rPr>
              <w:t>(%)</w:t>
            </w:r>
          </w:p>
        </w:tc>
      </w:tr>
      <w:tr w:rsidR="00721CB3" w:rsidRPr="00721CB3" w14:paraId="0EFA2F22" w14:textId="77777777" w:rsidTr="00253848">
        <w:tc>
          <w:tcPr>
            <w:tcW w:w="1443" w:type="dxa"/>
            <w:tcBorders>
              <w:bottom w:val="nil"/>
            </w:tcBorders>
          </w:tcPr>
          <w:p w14:paraId="4491759A" w14:textId="77777777" w:rsidR="00721CB3" w:rsidRPr="00721CB3" w:rsidRDefault="00721CB3" w:rsidP="00253848">
            <w:pPr>
              <w:pStyle w:val="TabelSNFUM2015"/>
              <w:jc w:val="left"/>
              <w:rPr>
                <w:rFonts w:ascii="Times New Roman" w:hAnsi="Times New Roman"/>
                <w:sz w:val="24"/>
                <w:szCs w:val="24"/>
              </w:rPr>
            </w:pPr>
            <w:r w:rsidRPr="00721CB3">
              <w:rPr>
                <w:rFonts w:ascii="Times New Roman" w:hAnsi="Times New Roman"/>
                <w:sz w:val="24"/>
                <w:szCs w:val="24"/>
              </w:rPr>
              <w:t>Pencegahan Anemia</w:t>
            </w:r>
          </w:p>
        </w:tc>
        <w:tc>
          <w:tcPr>
            <w:tcW w:w="1382" w:type="dxa"/>
            <w:tcBorders>
              <w:bottom w:val="nil"/>
            </w:tcBorders>
          </w:tcPr>
          <w:p w14:paraId="1B596978" w14:textId="77777777" w:rsidR="00721CB3" w:rsidRPr="00721CB3" w:rsidRDefault="00721CB3" w:rsidP="00253848">
            <w:pPr>
              <w:pStyle w:val="TabelSNFUM2015"/>
              <w:jc w:val="both"/>
              <w:rPr>
                <w:rFonts w:ascii="Times New Roman" w:hAnsi="Times New Roman"/>
                <w:sz w:val="24"/>
                <w:szCs w:val="24"/>
              </w:rPr>
            </w:pPr>
            <w:r w:rsidRPr="00721CB3">
              <w:rPr>
                <w:rFonts w:ascii="Times New Roman" w:hAnsi="Times New Roman"/>
                <w:sz w:val="24"/>
                <w:szCs w:val="24"/>
              </w:rPr>
              <w:t>Baik</w:t>
            </w:r>
          </w:p>
        </w:tc>
        <w:tc>
          <w:tcPr>
            <w:tcW w:w="456" w:type="dxa"/>
            <w:tcBorders>
              <w:bottom w:val="nil"/>
            </w:tcBorders>
          </w:tcPr>
          <w:p w14:paraId="502FCFDF"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14</w:t>
            </w:r>
          </w:p>
        </w:tc>
        <w:tc>
          <w:tcPr>
            <w:tcW w:w="830" w:type="dxa"/>
            <w:tcBorders>
              <w:bottom w:val="nil"/>
            </w:tcBorders>
          </w:tcPr>
          <w:p w14:paraId="55468F74"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30,4</w:t>
            </w:r>
          </w:p>
        </w:tc>
      </w:tr>
      <w:tr w:rsidR="00721CB3" w:rsidRPr="00721CB3" w14:paraId="2FE04D31" w14:textId="77777777" w:rsidTr="00253848">
        <w:tc>
          <w:tcPr>
            <w:tcW w:w="1443" w:type="dxa"/>
            <w:tcBorders>
              <w:top w:val="nil"/>
              <w:bottom w:val="nil"/>
            </w:tcBorders>
          </w:tcPr>
          <w:p w14:paraId="2EEEE499" w14:textId="77777777" w:rsidR="00721CB3" w:rsidRPr="00721CB3" w:rsidRDefault="00721CB3" w:rsidP="00253848">
            <w:pPr>
              <w:pStyle w:val="TabelSNFUM2015"/>
              <w:jc w:val="left"/>
              <w:rPr>
                <w:rFonts w:ascii="Times New Roman" w:hAnsi="Times New Roman"/>
                <w:sz w:val="24"/>
                <w:szCs w:val="24"/>
                <w:lang w:val="id-ID"/>
              </w:rPr>
            </w:pPr>
          </w:p>
        </w:tc>
        <w:tc>
          <w:tcPr>
            <w:tcW w:w="1382" w:type="dxa"/>
            <w:tcBorders>
              <w:top w:val="nil"/>
              <w:bottom w:val="nil"/>
            </w:tcBorders>
          </w:tcPr>
          <w:p w14:paraId="1DC492BB" w14:textId="77777777" w:rsidR="00721CB3" w:rsidRPr="00721CB3" w:rsidRDefault="00721CB3" w:rsidP="00253848">
            <w:pPr>
              <w:pStyle w:val="TabelSNFUM2015"/>
              <w:jc w:val="both"/>
              <w:rPr>
                <w:rFonts w:ascii="Times New Roman" w:hAnsi="Times New Roman"/>
                <w:sz w:val="24"/>
                <w:szCs w:val="24"/>
              </w:rPr>
            </w:pPr>
            <w:r w:rsidRPr="00721CB3">
              <w:rPr>
                <w:rFonts w:ascii="Times New Roman" w:hAnsi="Times New Roman"/>
                <w:sz w:val="24"/>
                <w:szCs w:val="24"/>
              </w:rPr>
              <w:t>Tidak Baik</w:t>
            </w:r>
          </w:p>
        </w:tc>
        <w:tc>
          <w:tcPr>
            <w:tcW w:w="456" w:type="dxa"/>
            <w:tcBorders>
              <w:top w:val="nil"/>
              <w:bottom w:val="nil"/>
            </w:tcBorders>
          </w:tcPr>
          <w:p w14:paraId="193DDEE9"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32</w:t>
            </w:r>
          </w:p>
        </w:tc>
        <w:tc>
          <w:tcPr>
            <w:tcW w:w="830" w:type="dxa"/>
            <w:tcBorders>
              <w:top w:val="nil"/>
              <w:bottom w:val="nil"/>
            </w:tcBorders>
          </w:tcPr>
          <w:p w14:paraId="759D555A"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69,6</w:t>
            </w:r>
          </w:p>
        </w:tc>
      </w:tr>
      <w:tr w:rsidR="00721CB3" w:rsidRPr="00721CB3" w14:paraId="1C4782CD" w14:textId="77777777" w:rsidTr="00253848">
        <w:tc>
          <w:tcPr>
            <w:tcW w:w="1443" w:type="dxa"/>
            <w:tcBorders>
              <w:bottom w:val="nil"/>
            </w:tcBorders>
          </w:tcPr>
          <w:p w14:paraId="4AFE0F11" w14:textId="77777777" w:rsidR="00721CB3" w:rsidRPr="00721CB3" w:rsidRDefault="00721CB3" w:rsidP="00253848">
            <w:pPr>
              <w:pStyle w:val="TabelSNFUM2015"/>
              <w:jc w:val="left"/>
              <w:rPr>
                <w:rFonts w:ascii="Times New Roman" w:hAnsi="Times New Roman"/>
                <w:sz w:val="24"/>
                <w:szCs w:val="24"/>
              </w:rPr>
            </w:pPr>
            <w:r w:rsidRPr="00721CB3">
              <w:rPr>
                <w:rFonts w:ascii="Times New Roman" w:hAnsi="Times New Roman"/>
                <w:sz w:val="24"/>
                <w:szCs w:val="24"/>
              </w:rPr>
              <w:t>Pengetahuan</w:t>
            </w:r>
          </w:p>
        </w:tc>
        <w:tc>
          <w:tcPr>
            <w:tcW w:w="1382" w:type="dxa"/>
            <w:tcBorders>
              <w:bottom w:val="nil"/>
            </w:tcBorders>
          </w:tcPr>
          <w:p w14:paraId="0F94D6D8" w14:textId="77777777" w:rsidR="00721CB3" w:rsidRPr="00721CB3" w:rsidRDefault="00721CB3" w:rsidP="00253848">
            <w:pPr>
              <w:pStyle w:val="TabelSNFUM2015"/>
              <w:jc w:val="both"/>
              <w:rPr>
                <w:rFonts w:ascii="Times New Roman" w:hAnsi="Times New Roman"/>
                <w:sz w:val="24"/>
                <w:szCs w:val="24"/>
              </w:rPr>
            </w:pPr>
            <w:r w:rsidRPr="00721CB3">
              <w:rPr>
                <w:rFonts w:ascii="Times New Roman" w:hAnsi="Times New Roman"/>
                <w:sz w:val="24"/>
                <w:szCs w:val="24"/>
              </w:rPr>
              <w:t>Baik</w:t>
            </w:r>
          </w:p>
        </w:tc>
        <w:tc>
          <w:tcPr>
            <w:tcW w:w="456" w:type="dxa"/>
            <w:tcBorders>
              <w:bottom w:val="nil"/>
            </w:tcBorders>
          </w:tcPr>
          <w:p w14:paraId="5C02E3E0"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8</w:t>
            </w:r>
          </w:p>
        </w:tc>
        <w:tc>
          <w:tcPr>
            <w:tcW w:w="830" w:type="dxa"/>
            <w:tcBorders>
              <w:bottom w:val="nil"/>
            </w:tcBorders>
          </w:tcPr>
          <w:p w14:paraId="75ECE62F"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17,4</w:t>
            </w:r>
          </w:p>
        </w:tc>
      </w:tr>
      <w:tr w:rsidR="00721CB3" w:rsidRPr="00721CB3" w14:paraId="60CE42F4" w14:textId="77777777" w:rsidTr="00253848">
        <w:tc>
          <w:tcPr>
            <w:tcW w:w="1443" w:type="dxa"/>
            <w:tcBorders>
              <w:top w:val="nil"/>
              <w:bottom w:val="nil"/>
            </w:tcBorders>
          </w:tcPr>
          <w:p w14:paraId="7E71B156" w14:textId="77777777" w:rsidR="00721CB3" w:rsidRPr="00721CB3" w:rsidRDefault="00721CB3" w:rsidP="00253848">
            <w:pPr>
              <w:pStyle w:val="TabelSNFUM2015"/>
              <w:jc w:val="left"/>
              <w:rPr>
                <w:rFonts w:ascii="Times New Roman" w:hAnsi="Times New Roman"/>
                <w:sz w:val="24"/>
                <w:szCs w:val="24"/>
              </w:rPr>
            </w:pPr>
          </w:p>
        </w:tc>
        <w:tc>
          <w:tcPr>
            <w:tcW w:w="1382" w:type="dxa"/>
            <w:tcBorders>
              <w:top w:val="nil"/>
              <w:bottom w:val="nil"/>
            </w:tcBorders>
          </w:tcPr>
          <w:p w14:paraId="6AAD194A" w14:textId="77777777" w:rsidR="00721CB3" w:rsidRPr="00721CB3" w:rsidRDefault="00721CB3" w:rsidP="00253848">
            <w:pPr>
              <w:pStyle w:val="TabelSNFUM2015"/>
              <w:jc w:val="both"/>
              <w:rPr>
                <w:rFonts w:ascii="Times New Roman" w:hAnsi="Times New Roman"/>
                <w:sz w:val="24"/>
                <w:szCs w:val="24"/>
              </w:rPr>
            </w:pPr>
            <w:r w:rsidRPr="00721CB3">
              <w:rPr>
                <w:rFonts w:ascii="Times New Roman" w:hAnsi="Times New Roman"/>
                <w:sz w:val="24"/>
                <w:szCs w:val="24"/>
              </w:rPr>
              <w:t>Cukup</w:t>
            </w:r>
          </w:p>
        </w:tc>
        <w:tc>
          <w:tcPr>
            <w:tcW w:w="456" w:type="dxa"/>
            <w:tcBorders>
              <w:top w:val="nil"/>
              <w:bottom w:val="nil"/>
            </w:tcBorders>
          </w:tcPr>
          <w:p w14:paraId="0DB01F33"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21</w:t>
            </w:r>
          </w:p>
        </w:tc>
        <w:tc>
          <w:tcPr>
            <w:tcW w:w="830" w:type="dxa"/>
            <w:tcBorders>
              <w:top w:val="nil"/>
              <w:bottom w:val="nil"/>
            </w:tcBorders>
          </w:tcPr>
          <w:p w14:paraId="38A9AFE9"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45,7</w:t>
            </w:r>
          </w:p>
        </w:tc>
      </w:tr>
      <w:tr w:rsidR="00721CB3" w:rsidRPr="00721CB3" w14:paraId="7976666F" w14:textId="77777777" w:rsidTr="00253848">
        <w:tc>
          <w:tcPr>
            <w:tcW w:w="1443" w:type="dxa"/>
            <w:tcBorders>
              <w:top w:val="nil"/>
              <w:bottom w:val="single" w:sz="4" w:space="0" w:color="auto"/>
            </w:tcBorders>
          </w:tcPr>
          <w:p w14:paraId="63EB6527" w14:textId="77777777" w:rsidR="00721CB3" w:rsidRPr="00721CB3" w:rsidRDefault="00721CB3" w:rsidP="00253848">
            <w:pPr>
              <w:pStyle w:val="TabelSNFUM2015"/>
              <w:rPr>
                <w:rFonts w:ascii="Times New Roman" w:hAnsi="Times New Roman"/>
                <w:sz w:val="24"/>
                <w:szCs w:val="24"/>
              </w:rPr>
            </w:pPr>
          </w:p>
        </w:tc>
        <w:tc>
          <w:tcPr>
            <w:tcW w:w="1382" w:type="dxa"/>
            <w:tcBorders>
              <w:top w:val="nil"/>
              <w:bottom w:val="single" w:sz="4" w:space="0" w:color="auto"/>
            </w:tcBorders>
          </w:tcPr>
          <w:p w14:paraId="58947331" w14:textId="77777777" w:rsidR="00721CB3" w:rsidRPr="00721CB3" w:rsidRDefault="00721CB3" w:rsidP="00253848">
            <w:pPr>
              <w:pStyle w:val="TabelSNFUM2015"/>
              <w:jc w:val="both"/>
              <w:rPr>
                <w:rFonts w:ascii="Times New Roman" w:hAnsi="Times New Roman"/>
                <w:sz w:val="24"/>
                <w:szCs w:val="24"/>
              </w:rPr>
            </w:pPr>
            <w:r w:rsidRPr="00721CB3">
              <w:rPr>
                <w:rFonts w:ascii="Times New Roman" w:hAnsi="Times New Roman"/>
                <w:sz w:val="24"/>
                <w:szCs w:val="24"/>
              </w:rPr>
              <w:t>Kurang</w:t>
            </w:r>
          </w:p>
        </w:tc>
        <w:tc>
          <w:tcPr>
            <w:tcW w:w="456" w:type="dxa"/>
            <w:tcBorders>
              <w:top w:val="nil"/>
              <w:bottom w:val="single" w:sz="4" w:space="0" w:color="auto"/>
            </w:tcBorders>
          </w:tcPr>
          <w:p w14:paraId="5213F977"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17</w:t>
            </w:r>
          </w:p>
        </w:tc>
        <w:tc>
          <w:tcPr>
            <w:tcW w:w="830" w:type="dxa"/>
            <w:tcBorders>
              <w:top w:val="nil"/>
              <w:bottom w:val="single" w:sz="4" w:space="0" w:color="auto"/>
            </w:tcBorders>
          </w:tcPr>
          <w:p w14:paraId="63561BD3"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36,9</w:t>
            </w:r>
          </w:p>
        </w:tc>
      </w:tr>
      <w:tr w:rsidR="00721CB3" w:rsidRPr="00721CB3" w14:paraId="1246ED38" w14:textId="77777777" w:rsidTr="00253848">
        <w:tc>
          <w:tcPr>
            <w:tcW w:w="1443" w:type="dxa"/>
            <w:vMerge w:val="restart"/>
            <w:tcBorders>
              <w:top w:val="single" w:sz="4" w:space="0" w:color="auto"/>
            </w:tcBorders>
          </w:tcPr>
          <w:p w14:paraId="4E44A908" w14:textId="77777777" w:rsidR="00721CB3" w:rsidRPr="00721CB3" w:rsidRDefault="00721CB3" w:rsidP="00253848">
            <w:pPr>
              <w:pStyle w:val="TabelSNFUM2015"/>
              <w:jc w:val="both"/>
              <w:rPr>
                <w:rFonts w:ascii="Times New Roman" w:hAnsi="Times New Roman"/>
                <w:sz w:val="24"/>
                <w:szCs w:val="24"/>
              </w:rPr>
            </w:pPr>
            <w:r w:rsidRPr="00721CB3">
              <w:rPr>
                <w:rFonts w:ascii="Times New Roman" w:hAnsi="Times New Roman"/>
                <w:sz w:val="24"/>
                <w:szCs w:val="24"/>
              </w:rPr>
              <w:t>Sikap</w:t>
            </w:r>
          </w:p>
        </w:tc>
        <w:tc>
          <w:tcPr>
            <w:tcW w:w="1382" w:type="dxa"/>
            <w:tcBorders>
              <w:top w:val="single" w:sz="4" w:space="0" w:color="auto"/>
              <w:bottom w:val="nil"/>
            </w:tcBorders>
          </w:tcPr>
          <w:p w14:paraId="3B1589B9" w14:textId="77777777" w:rsidR="00721CB3" w:rsidRPr="00721CB3" w:rsidRDefault="00721CB3" w:rsidP="00253848">
            <w:pPr>
              <w:pStyle w:val="TabelSNFUM2015"/>
              <w:jc w:val="both"/>
              <w:rPr>
                <w:rFonts w:ascii="Times New Roman" w:hAnsi="Times New Roman"/>
                <w:sz w:val="24"/>
                <w:szCs w:val="24"/>
              </w:rPr>
            </w:pPr>
            <w:r w:rsidRPr="00721CB3">
              <w:rPr>
                <w:rFonts w:ascii="Times New Roman" w:hAnsi="Times New Roman"/>
                <w:sz w:val="24"/>
                <w:szCs w:val="24"/>
              </w:rPr>
              <w:t>Positif</w:t>
            </w:r>
          </w:p>
        </w:tc>
        <w:tc>
          <w:tcPr>
            <w:tcW w:w="456" w:type="dxa"/>
            <w:tcBorders>
              <w:top w:val="single" w:sz="4" w:space="0" w:color="auto"/>
              <w:bottom w:val="nil"/>
            </w:tcBorders>
          </w:tcPr>
          <w:p w14:paraId="445154AD"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22</w:t>
            </w:r>
          </w:p>
        </w:tc>
        <w:tc>
          <w:tcPr>
            <w:tcW w:w="830" w:type="dxa"/>
            <w:tcBorders>
              <w:top w:val="single" w:sz="4" w:space="0" w:color="auto"/>
              <w:bottom w:val="nil"/>
            </w:tcBorders>
          </w:tcPr>
          <w:p w14:paraId="7F2A3BD9"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47,8</w:t>
            </w:r>
          </w:p>
        </w:tc>
      </w:tr>
      <w:tr w:rsidR="00721CB3" w:rsidRPr="00721CB3" w14:paraId="4F06B4DA" w14:textId="77777777" w:rsidTr="00253848">
        <w:tc>
          <w:tcPr>
            <w:tcW w:w="1443" w:type="dxa"/>
            <w:vMerge/>
          </w:tcPr>
          <w:p w14:paraId="46073AB6" w14:textId="77777777" w:rsidR="00721CB3" w:rsidRPr="00721CB3" w:rsidRDefault="00721CB3" w:rsidP="00253848">
            <w:pPr>
              <w:pStyle w:val="TabelSNFUM2015"/>
              <w:rPr>
                <w:rFonts w:ascii="Times New Roman" w:hAnsi="Times New Roman"/>
                <w:sz w:val="24"/>
                <w:szCs w:val="24"/>
              </w:rPr>
            </w:pPr>
          </w:p>
        </w:tc>
        <w:tc>
          <w:tcPr>
            <w:tcW w:w="1382" w:type="dxa"/>
            <w:tcBorders>
              <w:top w:val="nil"/>
            </w:tcBorders>
          </w:tcPr>
          <w:p w14:paraId="1E6428E4" w14:textId="77777777" w:rsidR="00721CB3" w:rsidRPr="00721CB3" w:rsidRDefault="00721CB3" w:rsidP="00253848">
            <w:pPr>
              <w:pStyle w:val="TabelSNFUM2015"/>
              <w:jc w:val="both"/>
              <w:rPr>
                <w:rFonts w:ascii="Times New Roman" w:hAnsi="Times New Roman"/>
                <w:sz w:val="24"/>
                <w:szCs w:val="24"/>
              </w:rPr>
            </w:pPr>
            <w:r w:rsidRPr="00721CB3">
              <w:rPr>
                <w:rFonts w:ascii="Times New Roman" w:hAnsi="Times New Roman"/>
                <w:sz w:val="24"/>
                <w:szCs w:val="24"/>
              </w:rPr>
              <w:t>Negatif</w:t>
            </w:r>
          </w:p>
        </w:tc>
        <w:tc>
          <w:tcPr>
            <w:tcW w:w="456" w:type="dxa"/>
            <w:tcBorders>
              <w:top w:val="nil"/>
            </w:tcBorders>
          </w:tcPr>
          <w:p w14:paraId="03818554"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24</w:t>
            </w:r>
          </w:p>
        </w:tc>
        <w:tc>
          <w:tcPr>
            <w:tcW w:w="830" w:type="dxa"/>
            <w:tcBorders>
              <w:top w:val="nil"/>
            </w:tcBorders>
          </w:tcPr>
          <w:p w14:paraId="1AE49A78" w14:textId="77777777" w:rsidR="00721CB3" w:rsidRPr="00721CB3" w:rsidRDefault="00721CB3" w:rsidP="00253848">
            <w:pPr>
              <w:pStyle w:val="TabelSNFUM2015"/>
              <w:rPr>
                <w:rFonts w:ascii="Times New Roman" w:hAnsi="Times New Roman"/>
                <w:sz w:val="24"/>
                <w:szCs w:val="24"/>
              </w:rPr>
            </w:pPr>
            <w:r w:rsidRPr="00721CB3">
              <w:rPr>
                <w:rFonts w:ascii="Times New Roman" w:hAnsi="Times New Roman"/>
                <w:sz w:val="24"/>
                <w:szCs w:val="24"/>
              </w:rPr>
              <w:t>52,2</w:t>
            </w:r>
          </w:p>
        </w:tc>
      </w:tr>
    </w:tbl>
    <w:p w14:paraId="4F54DF11" w14:textId="77777777" w:rsidR="00721CB3" w:rsidRPr="00721CB3" w:rsidRDefault="00721CB3" w:rsidP="00721CB3">
      <w:pPr>
        <w:ind w:left="270"/>
        <w:jc w:val="both"/>
        <w:rPr>
          <w:sz w:val="24"/>
          <w:szCs w:val="24"/>
        </w:rPr>
      </w:pPr>
      <w:r w:rsidRPr="00721CB3">
        <w:rPr>
          <w:sz w:val="24"/>
          <w:szCs w:val="24"/>
        </w:rPr>
        <w:t>Sumber : Analisa Univariat (2024)</w:t>
      </w:r>
    </w:p>
    <w:p w14:paraId="05FE8125" w14:textId="77777777" w:rsidR="00721CB3" w:rsidRDefault="00721CB3" w:rsidP="00721CB3">
      <w:pPr>
        <w:ind w:firstLine="581"/>
        <w:jc w:val="both"/>
        <w:rPr>
          <w:sz w:val="24"/>
          <w:szCs w:val="24"/>
        </w:rPr>
      </w:pPr>
      <w:r w:rsidRPr="00721CB3">
        <w:rPr>
          <w:sz w:val="24"/>
          <w:szCs w:val="24"/>
        </w:rPr>
        <w:t>Berdasarkan Tabel 1. didapatkan  hasil bahwa responden dengan pencegahan anemia baik 14 orang (30,4%) dan tidak baik sebanyak 32 orang (69,6%). Pada variabel pengetahuan, diperoleh pengetahuan baik sebanyak 8 orang (17,4%), cukup sebanyak 21 orang (45,7%) dan kurang sebanyak 17 orang (36,9%). Pada variabel sikap positif 22 orang (47,8%) dan negatif 24 orang (52,2%).</w:t>
      </w:r>
    </w:p>
    <w:p w14:paraId="00B8484A" w14:textId="77777777" w:rsidR="00C104BC" w:rsidRPr="00721CB3" w:rsidRDefault="00C104BC" w:rsidP="00721CB3">
      <w:pPr>
        <w:ind w:firstLine="581"/>
        <w:jc w:val="both"/>
        <w:rPr>
          <w:sz w:val="24"/>
          <w:szCs w:val="24"/>
        </w:rPr>
      </w:pPr>
    </w:p>
    <w:p w14:paraId="0FAD267C" w14:textId="77777777" w:rsidR="00721CB3" w:rsidRPr="00142F54" w:rsidRDefault="00721CB3" w:rsidP="00721CB3">
      <w:pPr>
        <w:jc w:val="both"/>
        <w:rPr>
          <w:b/>
          <w:bCs/>
          <w:sz w:val="24"/>
          <w:szCs w:val="24"/>
        </w:rPr>
      </w:pPr>
      <w:r w:rsidRPr="00142F54">
        <w:rPr>
          <w:b/>
          <w:bCs/>
          <w:sz w:val="24"/>
          <w:szCs w:val="24"/>
        </w:rPr>
        <w:t>Tabel 2. Hubungan Pengetahuan dan Sikap Remaja Puteri Terhadap Pencegahan Anemia Di SMPN 19 Muaro Jambi</w:t>
      </w:r>
    </w:p>
    <w:tbl>
      <w:tblPr>
        <w:tblW w:w="5637" w:type="dxa"/>
        <w:tblInd w:w="-28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51"/>
        <w:gridCol w:w="851"/>
        <w:gridCol w:w="425"/>
        <w:gridCol w:w="567"/>
        <w:gridCol w:w="425"/>
        <w:gridCol w:w="709"/>
        <w:gridCol w:w="425"/>
        <w:gridCol w:w="567"/>
        <w:gridCol w:w="817"/>
      </w:tblGrid>
      <w:tr w:rsidR="00721CB3" w:rsidRPr="00142F54" w14:paraId="07E5777C" w14:textId="77777777" w:rsidTr="00142F54">
        <w:tc>
          <w:tcPr>
            <w:tcW w:w="1702" w:type="dxa"/>
            <w:gridSpan w:val="2"/>
            <w:vMerge w:val="restart"/>
            <w:shd w:val="clear" w:color="auto" w:fill="auto"/>
          </w:tcPr>
          <w:p w14:paraId="00AA25D0" w14:textId="77777777" w:rsidR="00721CB3" w:rsidRPr="00142F54" w:rsidRDefault="00721CB3" w:rsidP="00253848">
            <w:pPr>
              <w:jc w:val="center"/>
              <w:rPr>
                <w:b/>
                <w:bCs/>
                <w:sz w:val="20"/>
                <w:szCs w:val="20"/>
              </w:rPr>
            </w:pPr>
            <w:r w:rsidRPr="00142F54">
              <w:rPr>
                <w:b/>
                <w:bCs/>
                <w:sz w:val="20"/>
                <w:szCs w:val="20"/>
              </w:rPr>
              <w:t>Variabel</w:t>
            </w:r>
          </w:p>
        </w:tc>
        <w:tc>
          <w:tcPr>
            <w:tcW w:w="2126" w:type="dxa"/>
            <w:gridSpan w:val="4"/>
            <w:shd w:val="clear" w:color="auto" w:fill="auto"/>
          </w:tcPr>
          <w:p w14:paraId="1A7949F9" w14:textId="77777777" w:rsidR="00721CB3" w:rsidRPr="00142F54" w:rsidRDefault="00721CB3" w:rsidP="00253848">
            <w:pPr>
              <w:jc w:val="center"/>
              <w:rPr>
                <w:b/>
                <w:bCs/>
                <w:sz w:val="20"/>
                <w:szCs w:val="20"/>
              </w:rPr>
            </w:pPr>
            <w:r w:rsidRPr="00142F54">
              <w:rPr>
                <w:b/>
                <w:bCs/>
                <w:sz w:val="20"/>
                <w:szCs w:val="20"/>
              </w:rPr>
              <w:t>Pencegahan Anemia</w:t>
            </w:r>
          </w:p>
        </w:tc>
        <w:tc>
          <w:tcPr>
            <w:tcW w:w="992" w:type="dxa"/>
            <w:gridSpan w:val="2"/>
            <w:shd w:val="clear" w:color="auto" w:fill="auto"/>
          </w:tcPr>
          <w:p w14:paraId="3A178BC8" w14:textId="77777777" w:rsidR="00721CB3" w:rsidRPr="00142F54" w:rsidRDefault="00721CB3" w:rsidP="00253848">
            <w:pPr>
              <w:jc w:val="center"/>
              <w:rPr>
                <w:b/>
                <w:bCs/>
                <w:sz w:val="20"/>
                <w:szCs w:val="20"/>
              </w:rPr>
            </w:pPr>
            <w:r w:rsidRPr="00142F54">
              <w:rPr>
                <w:b/>
                <w:bCs/>
                <w:sz w:val="20"/>
                <w:szCs w:val="20"/>
              </w:rPr>
              <w:t>Total</w:t>
            </w:r>
          </w:p>
        </w:tc>
        <w:tc>
          <w:tcPr>
            <w:tcW w:w="817" w:type="dxa"/>
            <w:shd w:val="clear" w:color="auto" w:fill="auto"/>
          </w:tcPr>
          <w:p w14:paraId="345A5116" w14:textId="77777777" w:rsidR="00721CB3" w:rsidRPr="00142F54" w:rsidRDefault="00721CB3" w:rsidP="00253848">
            <w:pPr>
              <w:jc w:val="center"/>
              <w:rPr>
                <w:b/>
                <w:bCs/>
                <w:sz w:val="20"/>
                <w:szCs w:val="20"/>
              </w:rPr>
            </w:pPr>
            <w:r w:rsidRPr="00142F54">
              <w:rPr>
                <w:b/>
                <w:bCs/>
                <w:sz w:val="20"/>
                <w:szCs w:val="20"/>
              </w:rPr>
              <w:t>P-Value</w:t>
            </w:r>
          </w:p>
        </w:tc>
      </w:tr>
      <w:tr w:rsidR="00721CB3" w:rsidRPr="00142F54" w14:paraId="0410EEF8" w14:textId="77777777" w:rsidTr="00142F54">
        <w:tc>
          <w:tcPr>
            <w:tcW w:w="1702" w:type="dxa"/>
            <w:gridSpan w:val="2"/>
            <w:vMerge/>
            <w:shd w:val="clear" w:color="auto" w:fill="auto"/>
          </w:tcPr>
          <w:p w14:paraId="09259642" w14:textId="77777777" w:rsidR="00721CB3" w:rsidRPr="00142F54" w:rsidRDefault="00721CB3" w:rsidP="00253848">
            <w:pPr>
              <w:jc w:val="both"/>
              <w:rPr>
                <w:b/>
                <w:bCs/>
                <w:sz w:val="20"/>
                <w:szCs w:val="20"/>
              </w:rPr>
            </w:pPr>
          </w:p>
        </w:tc>
        <w:tc>
          <w:tcPr>
            <w:tcW w:w="992" w:type="dxa"/>
            <w:gridSpan w:val="2"/>
            <w:shd w:val="clear" w:color="auto" w:fill="auto"/>
          </w:tcPr>
          <w:p w14:paraId="02021D06" w14:textId="77777777" w:rsidR="00721CB3" w:rsidRPr="00142F54" w:rsidRDefault="00721CB3" w:rsidP="00253848">
            <w:pPr>
              <w:jc w:val="center"/>
              <w:rPr>
                <w:b/>
                <w:bCs/>
                <w:sz w:val="20"/>
                <w:szCs w:val="20"/>
              </w:rPr>
            </w:pPr>
            <w:r w:rsidRPr="00142F54">
              <w:rPr>
                <w:b/>
                <w:bCs/>
                <w:sz w:val="20"/>
                <w:szCs w:val="20"/>
              </w:rPr>
              <w:t>Baik</w:t>
            </w:r>
          </w:p>
        </w:tc>
        <w:tc>
          <w:tcPr>
            <w:tcW w:w="1134" w:type="dxa"/>
            <w:gridSpan w:val="2"/>
            <w:shd w:val="clear" w:color="auto" w:fill="auto"/>
          </w:tcPr>
          <w:p w14:paraId="262027C1" w14:textId="77777777" w:rsidR="00721CB3" w:rsidRPr="00142F54" w:rsidRDefault="00721CB3" w:rsidP="00253848">
            <w:pPr>
              <w:jc w:val="center"/>
              <w:rPr>
                <w:b/>
                <w:bCs/>
                <w:sz w:val="20"/>
                <w:szCs w:val="20"/>
              </w:rPr>
            </w:pPr>
            <w:r w:rsidRPr="00142F54">
              <w:rPr>
                <w:b/>
                <w:bCs/>
                <w:sz w:val="20"/>
                <w:szCs w:val="20"/>
              </w:rPr>
              <w:t>Tidak Baik</w:t>
            </w:r>
          </w:p>
        </w:tc>
        <w:tc>
          <w:tcPr>
            <w:tcW w:w="992" w:type="dxa"/>
            <w:gridSpan w:val="2"/>
            <w:shd w:val="clear" w:color="auto" w:fill="auto"/>
          </w:tcPr>
          <w:p w14:paraId="3AA1CFE9" w14:textId="77777777" w:rsidR="00721CB3" w:rsidRPr="00142F54" w:rsidRDefault="00721CB3" w:rsidP="00253848">
            <w:pPr>
              <w:jc w:val="both"/>
              <w:rPr>
                <w:b/>
                <w:bCs/>
                <w:sz w:val="20"/>
                <w:szCs w:val="20"/>
              </w:rPr>
            </w:pPr>
          </w:p>
        </w:tc>
        <w:tc>
          <w:tcPr>
            <w:tcW w:w="817" w:type="dxa"/>
            <w:shd w:val="clear" w:color="auto" w:fill="auto"/>
          </w:tcPr>
          <w:p w14:paraId="6CB20259" w14:textId="77777777" w:rsidR="00721CB3" w:rsidRPr="00142F54" w:rsidRDefault="00721CB3" w:rsidP="00253848">
            <w:pPr>
              <w:jc w:val="both"/>
              <w:rPr>
                <w:b/>
                <w:bCs/>
                <w:sz w:val="20"/>
                <w:szCs w:val="20"/>
              </w:rPr>
            </w:pPr>
          </w:p>
        </w:tc>
      </w:tr>
      <w:tr w:rsidR="00721CB3" w:rsidRPr="00142F54" w14:paraId="451148AE" w14:textId="77777777" w:rsidTr="00142F54">
        <w:tc>
          <w:tcPr>
            <w:tcW w:w="1702" w:type="dxa"/>
            <w:gridSpan w:val="2"/>
            <w:vMerge/>
            <w:shd w:val="clear" w:color="auto" w:fill="auto"/>
          </w:tcPr>
          <w:p w14:paraId="18AC6375" w14:textId="77777777" w:rsidR="00721CB3" w:rsidRPr="00142F54" w:rsidRDefault="00721CB3" w:rsidP="00253848">
            <w:pPr>
              <w:jc w:val="both"/>
              <w:rPr>
                <w:sz w:val="20"/>
                <w:szCs w:val="20"/>
              </w:rPr>
            </w:pPr>
          </w:p>
        </w:tc>
        <w:tc>
          <w:tcPr>
            <w:tcW w:w="425" w:type="dxa"/>
            <w:shd w:val="clear" w:color="auto" w:fill="auto"/>
          </w:tcPr>
          <w:p w14:paraId="28703E4C" w14:textId="77777777" w:rsidR="00721CB3" w:rsidRPr="00142F54" w:rsidRDefault="00721CB3" w:rsidP="00253848">
            <w:pPr>
              <w:jc w:val="center"/>
              <w:rPr>
                <w:sz w:val="20"/>
                <w:szCs w:val="20"/>
              </w:rPr>
            </w:pPr>
            <w:r w:rsidRPr="00142F54">
              <w:rPr>
                <w:sz w:val="20"/>
                <w:szCs w:val="20"/>
              </w:rPr>
              <w:t>F</w:t>
            </w:r>
          </w:p>
        </w:tc>
        <w:tc>
          <w:tcPr>
            <w:tcW w:w="567" w:type="dxa"/>
            <w:shd w:val="clear" w:color="auto" w:fill="auto"/>
          </w:tcPr>
          <w:p w14:paraId="7512A553" w14:textId="77777777" w:rsidR="00721CB3" w:rsidRPr="00142F54" w:rsidRDefault="00721CB3" w:rsidP="00253848">
            <w:pPr>
              <w:jc w:val="center"/>
              <w:rPr>
                <w:sz w:val="20"/>
                <w:szCs w:val="20"/>
              </w:rPr>
            </w:pPr>
            <w:r w:rsidRPr="00142F54">
              <w:rPr>
                <w:sz w:val="20"/>
                <w:szCs w:val="20"/>
              </w:rPr>
              <w:t>%</w:t>
            </w:r>
          </w:p>
        </w:tc>
        <w:tc>
          <w:tcPr>
            <w:tcW w:w="425" w:type="dxa"/>
            <w:shd w:val="clear" w:color="auto" w:fill="auto"/>
          </w:tcPr>
          <w:p w14:paraId="675D5870" w14:textId="77777777" w:rsidR="00721CB3" w:rsidRPr="00142F54" w:rsidRDefault="00721CB3" w:rsidP="00253848">
            <w:pPr>
              <w:jc w:val="center"/>
              <w:rPr>
                <w:sz w:val="20"/>
                <w:szCs w:val="20"/>
              </w:rPr>
            </w:pPr>
            <w:r w:rsidRPr="00142F54">
              <w:rPr>
                <w:sz w:val="20"/>
                <w:szCs w:val="20"/>
              </w:rPr>
              <w:t>F</w:t>
            </w:r>
          </w:p>
        </w:tc>
        <w:tc>
          <w:tcPr>
            <w:tcW w:w="709" w:type="dxa"/>
            <w:shd w:val="clear" w:color="auto" w:fill="auto"/>
          </w:tcPr>
          <w:p w14:paraId="0316A120" w14:textId="77777777" w:rsidR="00721CB3" w:rsidRPr="00142F54" w:rsidRDefault="00721CB3" w:rsidP="00253848">
            <w:pPr>
              <w:jc w:val="center"/>
              <w:rPr>
                <w:sz w:val="20"/>
                <w:szCs w:val="20"/>
              </w:rPr>
            </w:pPr>
            <w:r w:rsidRPr="00142F54">
              <w:rPr>
                <w:sz w:val="20"/>
                <w:szCs w:val="20"/>
              </w:rPr>
              <w:t>%</w:t>
            </w:r>
          </w:p>
        </w:tc>
        <w:tc>
          <w:tcPr>
            <w:tcW w:w="425" w:type="dxa"/>
            <w:shd w:val="clear" w:color="auto" w:fill="auto"/>
          </w:tcPr>
          <w:p w14:paraId="162FF356" w14:textId="77777777" w:rsidR="00721CB3" w:rsidRPr="00142F54" w:rsidRDefault="00721CB3" w:rsidP="00253848">
            <w:pPr>
              <w:jc w:val="center"/>
              <w:rPr>
                <w:sz w:val="20"/>
                <w:szCs w:val="20"/>
              </w:rPr>
            </w:pPr>
            <w:r w:rsidRPr="00142F54">
              <w:rPr>
                <w:sz w:val="20"/>
                <w:szCs w:val="20"/>
              </w:rPr>
              <w:t>F</w:t>
            </w:r>
          </w:p>
        </w:tc>
        <w:tc>
          <w:tcPr>
            <w:tcW w:w="567" w:type="dxa"/>
            <w:shd w:val="clear" w:color="auto" w:fill="auto"/>
          </w:tcPr>
          <w:p w14:paraId="4896F240" w14:textId="77777777" w:rsidR="00721CB3" w:rsidRPr="00142F54" w:rsidRDefault="00721CB3" w:rsidP="00253848">
            <w:pPr>
              <w:jc w:val="center"/>
              <w:rPr>
                <w:sz w:val="20"/>
                <w:szCs w:val="20"/>
              </w:rPr>
            </w:pPr>
            <w:r w:rsidRPr="00142F54">
              <w:rPr>
                <w:sz w:val="20"/>
                <w:szCs w:val="20"/>
              </w:rPr>
              <w:t>%</w:t>
            </w:r>
          </w:p>
        </w:tc>
        <w:tc>
          <w:tcPr>
            <w:tcW w:w="817" w:type="dxa"/>
            <w:shd w:val="clear" w:color="auto" w:fill="auto"/>
          </w:tcPr>
          <w:p w14:paraId="61D86115" w14:textId="77777777" w:rsidR="00721CB3" w:rsidRPr="00142F54" w:rsidRDefault="00721CB3" w:rsidP="00253848">
            <w:pPr>
              <w:jc w:val="both"/>
              <w:rPr>
                <w:sz w:val="20"/>
                <w:szCs w:val="20"/>
              </w:rPr>
            </w:pPr>
          </w:p>
        </w:tc>
      </w:tr>
      <w:tr w:rsidR="00721CB3" w:rsidRPr="00142F54" w14:paraId="2D216C37" w14:textId="77777777" w:rsidTr="00142F54">
        <w:tc>
          <w:tcPr>
            <w:tcW w:w="851" w:type="dxa"/>
            <w:vMerge w:val="restart"/>
            <w:shd w:val="clear" w:color="auto" w:fill="auto"/>
          </w:tcPr>
          <w:p w14:paraId="431E2430" w14:textId="77777777" w:rsidR="00721CB3" w:rsidRPr="00142F54" w:rsidRDefault="00721CB3" w:rsidP="00253848">
            <w:pPr>
              <w:jc w:val="center"/>
              <w:rPr>
                <w:sz w:val="20"/>
                <w:szCs w:val="20"/>
              </w:rPr>
            </w:pPr>
            <w:r w:rsidRPr="00142F54">
              <w:rPr>
                <w:sz w:val="20"/>
                <w:szCs w:val="20"/>
              </w:rPr>
              <w:t>Pengetahuan</w:t>
            </w:r>
          </w:p>
        </w:tc>
        <w:tc>
          <w:tcPr>
            <w:tcW w:w="851" w:type="dxa"/>
            <w:tcBorders>
              <w:bottom w:val="nil"/>
            </w:tcBorders>
            <w:shd w:val="clear" w:color="auto" w:fill="auto"/>
          </w:tcPr>
          <w:p w14:paraId="765F0B45" w14:textId="77777777" w:rsidR="00721CB3" w:rsidRPr="00142F54" w:rsidRDefault="00721CB3" w:rsidP="00253848">
            <w:pPr>
              <w:jc w:val="both"/>
              <w:rPr>
                <w:sz w:val="20"/>
                <w:szCs w:val="20"/>
              </w:rPr>
            </w:pPr>
            <w:r w:rsidRPr="00142F54">
              <w:rPr>
                <w:sz w:val="20"/>
                <w:szCs w:val="20"/>
              </w:rPr>
              <w:t>Baik</w:t>
            </w:r>
          </w:p>
        </w:tc>
        <w:tc>
          <w:tcPr>
            <w:tcW w:w="425" w:type="dxa"/>
            <w:tcBorders>
              <w:bottom w:val="nil"/>
            </w:tcBorders>
            <w:shd w:val="clear" w:color="auto" w:fill="auto"/>
          </w:tcPr>
          <w:p w14:paraId="37403AFF" w14:textId="77777777" w:rsidR="00721CB3" w:rsidRPr="00142F54" w:rsidRDefault="00721CB3" w:rsidP="00253848">
            <w:pPr>
              <w:jc w:val="center"/>
              <w:rPr>
                <w:sz w:val="20"/>
                <w:szCs w:val="20"/>
              </w:rPr>
            </w:pPr>
            <w:r w:rsidRPr="00142F54">
              <w:rPr>
                <w:sz w:val="20"/>
                <w:szCs w:val="20"/>
              </w:rPr>
              <w:t>1</w:t>
            </w:r>
          </w:p>
        </w:tc>
        <w:tc>
          <w:tcPr>
            <w:tcW w:w="567" w:type="dxa"/>
            <w:tcBorders>
              <w:bottom w:val="nil"/>
            </w:tcBorders>
            <w:shd w:val="clear" w:color="auto" w:fill="auto"/>
          </w:tcPr>
          <w:p w14:paraId="362415E4" w14:textId="77777777" w:rsidR="00721CB3" w:rsidRPr="00142F54" w:rsidRDefault="00721CB3" w:rsidP="00253848">
            <w:pPr>
              <w:jc w:val="center"/>
              <w:rPr>
                <w:sz w:val="20"/>
                <w:szCs w:val="20"/>
              </w:rPr>
            </w:pPr>
            <w:r w:rsidRPr="00142F54">
              <w:rPr>
                <w:sz w:val="20"/>
                <w:szCs w:val="20"/>
              </w:rPr>
              <w:t>2,2</w:t>
            </w:r>
          </w:p>
        </w:tc>
        <w:tc>
          <w:tcPr>
            <w:tcW w:w="425" w:type="dxa"/>
            <w:tcBorders>
              <w:bottom w:val="nil"/>
            </w:tcBorders>
            <w:shd w:val="clear" w:color="auto" w:fill="auto"/>
          </w:tcPr>
          <w:p w14:paraId="216889B9" w14:textId="77777777" w:rsidR="00721CB3" w:rsidRPr="00142F54" w:rsidRDefault="00721CB3" w:rsidP="00253848">
            <w:pPr>
              <w:jc w:val="center"/>
              <w:rPr>
                <w:sz w:val="20"/>
                <w:szCs w:val="20"/>
              </w:rPr>
            </w:pPr>
            <w:r w:rsidRPr="00142F54">
              <w:rPr>
                <w:sz w:val="20"/>
                <w:szCs w:val="20"/>
              </w:rPr>
              <w:t>7</w:t>
            </w:r>
          </w:p>
        </w:tc>
        <w:tc>
          <w:tcPr>
            <w:tcW w:w="709" w:type="dxa"/>
            <w:tcBorders>
              <w:bottom w:val="nil"/>
            </w:tcBorders>
            <w:shd w:val="clear" w:color="auto" w:fill="auto"/>
          </w:tcPr>
          <w:p w14:paraId="42783308" w14:textId="77777777" w:rsidR="00721CB3" w:rsidRPr="00142F54" w:rsidRDefault="00721CB3" w:rsidP="00253848">
            <w:pPr>
              <w:jc w:val="center"/>
              <w:rPr>
                <w:sz w:val="20"/>
                <w:szCs w:val="20"/>
              </w:rPr>
            </w:pPr>
            <w:r w:rsidRPr="00142F54">
              <w:rPr>
                <w:sz w:val="20"/>
                <w:szCs w:val="20"/>
              </w:rPr>
              <w:t>15,2</w:t>
            </w:r>
          </w:p>
        </w:tc>
        <w:tc>
          <w:tcPr>
            <w:tcW w:w="425" w:type="dxa"/>
            <w:tcBorders>
              <w:bottom w:val="nil"/>
            </w:tcBorders>
            <w:shd w:val="clear" w:color="auto" w:fill="auto"/>
          </w:tcPr>
          <w:p w14:paraId="184A95EC" w14:textId="77777777" w:rsidR="00721CB3" w:rsidRPr="00142F54" w:rsidRDefault="00721CB3" w:rsidP="00253848">
            <w:pPr>
              <w:jc w:val="center"/>
              <w:rPr>
                <w:sz w:val="20"/>
                <w:szCs w:val="20"/>
              </w:rPr>
            </w:pPr>
            <w:r w:rsidRPr="00142F54">
              <w:rPr>
                <w:sz w:val="20"/>
                <w:szCs w:val="20"/>
              </w:rPr>
              <w:t>8</w:t>
            </w:r>
          </w:p>
        </w:tc>
        <w:tc>
          <w:tcPr>
            <w:tcW w:w="567" w:type="dxa"/>
            <w:tcBorders>
              <w:bottom w:val="nil"/>
            </w:tcBorders>
            <w:shd w:val="clear" w:color="auto" w:fill="auto"/>
          </w:tcPr>
          <w:p w14:paraId="00663450" w14:textId="77777777" w:rsidR="00721CB3" w:rsidRPr="00142F54" w:rsidRDefault="00721CB3" w:rsidP="00253848">
            <w:pPr>
              <w:jc w:val="center"/>
              <w:rPr>
                <w:sz w:val="20"/>
                <w:szCs w:val="20"/>
              </w:rPr>
            </w:pPr>
            <w:r w:rsidRPr="00142F54">
              <w:rPr>
                <w:sz w:val="20"/>
                <w:szCs w:val="20"/>
              </w:rPr>
              <w:t>17,4</w:t>
            </w:r>
          </w:p>
        </w:tc>
        <w:tc>
          <w:tcPr>
            <w:tcW w:w="817" w:type="dxa"/>
            <w:vMerge w:val="restart"/>
            <w:shd w:val="clear" w:color="auto" w:fill="auto"/>
          </w:tcPr>
          <w:p w14:paraId="6BF18FAA" w14:textId="77777777" w:rsidR="00721CB3" w:rsidRPr="00142F54" w:rsidRDefault="00721CB3" w:rsidP="00142F54">
            <w:pPr>
              <w:ind w:left="-4"/>
              <w:jc w:val="both"/>
              <w:rPr>
                <w:sz w:val="20"/>
                <w:szCs w:val="20"/>
              </w:rPr>
            </w:pPr>
            <w:r w:rsidRPr="00142F54">
              <w:rPr>
                <w:sz w:val="20"/>
                <w:szCs w:val="20"/>
              </w:rPr>
              <w:t>0,001</w:t>
            </w:r>
          </w:p>
        </w:tc>
      </w:tr>
      <w:tr w:rsidR="00721CB3" w:rsidRPr="00142F54" w14:paraId="268A2B6E" w14:textId="77777777" w:rsidTr="00142F54">
        <w:tc>
          <w:tcPr>
            <w:tcW w:w="851" w:type="dxa"/>
            <w:vMerge/>
            <w:shd w:val="clear" w:color="auto" w:fill="auto"/>
          </w:tcPr>
          <w:p w14:paraId="76413ACA" w14:textId="77777777" w:rsidR="00721CB3" w:rsidRPr="00142F54" w:rsidRDefault="00721CB3" w:rsidP="00253848">
            <w:pPr>
              <w:jc w:val="center"/>
              <w:rPr>
                <w:sz w:val="20"/>
                <w:szCs w:val="20"/>
              </w:rPr>
            </w:pPr>
          </w:p>
        </w:tc>
        <w:tc>
          <w:tcPr>
            <w:tcW w:w="851" w:type="dxa"/>
            <w:tcBorders>
              <w:top w:val="nil"/>
              <w:bottom w:val="nil"/>
            </w:tcBorders>
            <w:shd w:val="clear" w:color="auto" w:fill="auto"/>
          </w:tcPr>
          <w:p w14:paraId="3F795C28" w14:textId="77777777" w:rsidR="00721CB3" w:rsidRPr="00142F54" w:rsidRDefault="00721CB3" w:rsidP="00253848">
            <w:pPr>
              <w:jc w:val="both"/>
              <w:rPr>
                <w:sz w:val="20"/>
                <w:szCs w:val="20"/>
              </w:rPr>
            </w:pPr>
            <w:r w:rsidRPr="00142F54">
              <w:rPr>
                <w:sz w:val="20"/>
                <w:szCs w:val="20"/>
              </w:rPr>
              <w:t>Cukup</w:t>
            </w:r>
          </w:p>
        </w:tc>
        <w:tc>
          <w:tcPr>
            <w:tcW w:w="425" w:type="dxa"/>
            <w:tcBorders>
              <w:top w:val="nil"/>
              <w:bottom w:val="nil"/>
            </w:tcBorders>
            <w:shd w:val="clear" w:color="auto" w:fill="auto"/>
          </w:tcPr>
          <w:p w14:paraId="2DD13F47" w14:textId="77777777" w:rsidR="00721CB3" w:rsidRPr="00142F54" w:rsidRDefault="00721CB3" w:rsidP="00253848">
            <w:pPr>
              <w:jc w:val="center"/>
              <w:rPr>
                <w:sz w:val="20"/>
                <w:szCs w:val="20"/>
              </w:rPr>
            </w:pPr>
            <w:r w:rsidRPr="00142F54">
              <w:rPr>
                <w:sz w:val="20"/>
                <w:szCs w:val="20"/>
              </w:rPr>
              <w:t>11</w:t>
            </w:r>
          </w:p>
        </w:tc>
        <w:tc>
          <w:tcPr>
            <w:tcW w:w="567" w:type="dxa"/>
            <w:tcBorders>
              <w:top w:val="nil"/>
              <w:bottom w:val="nil"/>
            </w:tcBorders>
            <w:shd w:val="clear" w:color="auto" w:fill="auto"/>
          </w:tcPr>
          <w:p w14:paraId="4F754AFA" w14:textId="77777777" w:rsidR="00721CB3" w:rsidRPr="00142F54" w:rsidRDefault="00721CB3" w:rsidP="00253848">
            <w:pPr>
              <w:jc w:val="center"/>
              <w:rPr>
                <w:sz w:val="20"/>
                <w:szCs w:val="20"/>
              </w:rPr>
            </w:pPr>
            <w:r w:rsidRPr="00142F54">
              <w:rPr>
                <w:sz w:val="20"/>
                <w:szCs w:val="20"/>
              </w:rPr>
              <w:t>23,9</w:t>
            </w:r>
          </w:p>
        </w:tc>
        <w:tc>
          <w:tcPr>
            <w:tcW w:w="425" w:type="dxa"/>
            <w:tcBorders>
              <w:top w:val="nil"/>
              <w:bottom w:val="nil"/>
            </w:tcBorders>
            <w:shd w:val="clear" w:color="auto" w:fill="auto"/>
          </w:tcPr>
          <w:p w14:paraId="61CA3DE6" w14:textId="77777777" w:rsidR="00721CB3" w:rsidRPr="00142F54" w:rsidRDefault="00721CB3" w:rsidP="00253848">
            <w:pPr>
              <w:jc w:val="center"/>
              <w:rPr>
                <w:sz w:val="20"/>
                <w:szCs w:val="20"/>
              </w:rPr>
            </w:pPr>
            <w:r w:rsidRPr="00142F54">
              <w:rPr>
                <w:sz w:val="20"/>
                <w:szCs w:val="20"/>
              </w:rPr>
              <w:t>10</w:t>
            </w:r>
          </w:p>
        </w:tc>
        <w:tc>
          <w:tcPr>
            <w:tcW w:w="709" w:type="dxa"/>
            <w:tcBorders>
              <w:top w:val="nil"/>
              <w:bottom w:val="nil"/>
            </w:tcBorders>
            <w:shd w:val="clear" w:color="auto" w:fill="auto"/>
          </w:tcPr>
          <w:p w14:paraId="26B57BAB" w14:textId="77777777" w:rsidR="00721CB3" w:rsidRPr="00142F54" w:rsidRDefault="00721CB3" w:rsidP="00253848">
            <w:pPr>
              <w:jc w:val="center"/>
              <w:rPr>
                <w:sz w:val="20"/>
                <w:szCs w:val="20"/>
              </w:rPr>
            </w:pPr>
            <w:r w:rsidRPr="00142F54">
              <w:rPr>
                <w:sz w:val="20"/>
                <w:szCs w:val="20"/>
              </w:rPr>
              <w:t>21,7</w:t>
            </w:r>
          </w:p>
        </w:tc>
        <w:tc>
          <w:tcPr>
            <w:tcW w:w="425" w:type="dxa"/>
            <w:tcBorders>
              <w:top w:val="nil"/>
              <w:bottom w:val="nil"/>
            </w:tcBorders>
            <w:shd w:val="clear" w:color="auto" w:fill="auto"/>
          </w:tcPr>
          <w:p w14:paraId="1B56242B" w14:textId="77777777" w:rsidR="00721CB3" w:rsidRPr="00142F54" w:rsidRDefault="00721CB3" w:rsidP="00253848">
            <w:pPr>
              <w:jc w:val="center"/>
              <w:rPr>
                <w:sz w:val="20"/>
                <w:szCs w:val="20"/>
              </w:rPr>
            </w:pPr>
            <w:r w:rsidRPr="00142F54">
              <w:rPr>
                <w:sz w:val="20"/>
                <w:szCs w:val="20"/>
              </w:rPr>
              <w:t>21</w:t>
            </w:r>
          </w:p>
        </w:tc>
        <w:tc>
          <w:tcPr>
            <w:tcW w:w="567" w:type="dxa"/>
            <w:tcBorders>
              <w:top w:val="nil"/>
              <w:bottom w:val="nil"/>
            </w:tcBorders>
            <w:shd w:val="clear" w:color="auto" w:fill="auto"/>
          </w:tcPr>
          <w:p w14:paraId="52B63F51" w14:textId="77777777" w:rsidR="00721CB3" w:rsidRPr="00142F54" w:rsidRDefault="00721CB3" w:rsidP="00253848">
            <w:pPr>
              <w:jc w:val="center"/>
              <w:rPr>
                <w:sz w:val="20"/>
                <w:szCs w:val="20"/>
              </w:rPr>
            </w:pPr>
            <w:r w:rsidRPr="00142F54">
              <w:rPr>
                <w:sz w:val="20"/>
                <w:szCs w:val="20"/>
              </w:rPr>
              <w:t>45,7</w:t>
            </w:r>
          </w:p>
        </w:tc>
        <w:tc>
          <w:tcPr>
            <w:tcW w:w="817" w:type="dxa"/>
            <w:vMerge/>
            <w:shd w:val="clear" w:color="auto" w:fill="auto"/>
          </w:tcPr>
          <w:p w14:paraId="34A7DB05" w14:textId="77777777" w:rsidR="00721CB3" w:rsidRPr="00142F54" w:rsidRDefault="00721CB3" w:rsidP="00142F54">
            <w:pPr>
              <w:ind w:left="-4"/>
              <w:jc w:val="both"/>
              <w:rPr>
                <w:sz w:val="20"/>
                <w:szCs w:val="20"/>
              </w:rPr>
            </w:pPr>
          </w:p>
        </w:tc>
      </w:tr>
      <w:tr w:rsidR="00721CB3" w:rsidRPr="00142F54" w14:paraId="2457B6DD" w14:textId="77777777" w:rsidTr="00142F54">
        <w:tc>
          <w:tcPr>
            <w:tcW w:w="851" w:type="dxa"/>
            <w:vMerge/>
            <w:tcBorders>
              <w:bottom w:val="single" w:sz="4" w:space="0" w:color="auto"/>
            </w:tcBorders>
            <w:shd w:val="clear" w:color="auto" w:fill="auto"/>
          </w:tcPr>
          <w:p w14:paraId="1DB0E1EC" w14:textId="77777777" w:rsidR="00721CB3" w:rsidRPr="00142F54" w:rsidRDefault="00721CB3" w:rsidP="00253848">
            <w:pPr>
              <w:jc w:val="center"/>
              <w:rPr>
                <w:sz w:val="20"/>
                <w:szCs w:val="20"/>
              </w:rPr>
            </w:pPr>
          </w:p>
        </w:tc>
        <w:tc>
          <w:tcPr>
            <w:tcW w:w="851" w:type="dxa"/>
            <w:tcBorders>
              <w:top w:val="nil"/>
              <w:bottom w:val="single" w:sz="4" w:space="0" w:color="auto"/>
            </w:tcBorders>
            <w:shd w:val="clear" w:color="auto" w:fill="auto"/>
          </w:tcPr>
          <w:p w14:paraId="25D7CEBD" w14:textId="77777777" w:rsidR="00721CB3" w:rsidRPr="00142F54" w:rsidRDefault="00721CB3" w:rsidP="00253848">
            <w:pPr>
              <w:jc w:val="both"/>
              <w:rPr>
                <w:sz w:val="20"/>
                <w:szCs w:val="20"/>
              </w:rPr>
            </w:pPr>
            <w:r w:rsidRPr="00142F54">
              <w:rPr>
                <w:sz w:val="20"/>
                <w:szCs w:val="20"/>
              </w:rPr>
              <w:t>Kurang</w:t>
            </w:r>
          </w:p>
        </w:tc>
        <w:tc>
          <w:tcPr>
            <w:tcW w:w="425" w:type="dxa"/>
            <w:tcBorders>
              <w:top w:val="nil"/>
              <w:bottom w:val="single" w:sz="4" w:space="0" w:color="auto"/>
            </w:tcBorders>
            <w:shd w:val="clear" w:color="auto" w:fill="auto"/>
          </w:tcPr>
          <w:p w14:paraId="6322DE62" w14:textId="77777777" w:rsidR="00721CB3" w:rsidRPr="00142F54" w:rsidRDefault="00721CB3" w:rsidP="00253848">
            <w:pPr>
              <w:jc w:val="center"/>
              <w:rPr>
                <w:sz w:val="20"/>
                <w:szCs w:val="20"/>
              </w:rPr>
            </w:pPr>
            <w:r w:rsidRPr="00142F54">
              <w:rPr>
                <w:sz w:val="20"/>
                <w:szCs w:val="20"/>
              </w:rPr>
              <w:t>2</w:t>
            </w:r>
          </w:p>
        </w:tc>
        <w:tc>
          <w:tcPr>
            <w:tcW w:w="567" w:type="dxa"/>
            <w:tcBorders>
              <w:top w:val="nil"/>
              <w:bottom w:val="single" w:sz="4" w:space="0" w:color="auto"/>
            </w:tcBorders>
            <w:shd w:val="clear" w:color="auto" w:fill="auto"/>
          </w:tcPr>
          <w:p w14:paraId="4BBA3882" w14:textId="77777777" w:rsidR="00721CB3" w:rsidRPr="00142F54" w:rsidRDefault="00721CB3" w:rsidP="00253848">
            <w:pPr>
              <w:jc w:val="center"/>
              <w:rPr>
                <w:sz w:val="20"/>
                <w:szCs w:val="20"/>
              </w:rPr>
            </w:pPr>
            <w:r w:rsidRPr="00142F54">
              <w:rPr>
                <w:sz w:val="20"/>
                <w:szCs w:val="20"/>
              </w:rPr>
              <w:t>4,3</w:t>
            </w:r>
          </w:p>
        </w:tc>
        <w:tc>
          <w:tcPr>
            <w:tcW w:w="425" w:type="dxa"/>
            <w:tcBorders>
              <w:top w:val="nil"/>
              <w:bottom w:val="single" w:sz="4" w:space="0" w:color="auto"/>
            </w:tcBorders>
            <w:shd w:val="clear" w:color="auto" w:fill="auto"/>
          </w:tcPr>
          <w:p w14:paraId="4216A413" w14:textId="77777777" w:rsidR="00721CB3" w:rsidRPr="00142F54" w:rsidRDefault="00721CB3" w:rsidP="00253848">
            <w:pPr>
              <w:jc w:val="center"/>
              <w:rPr>
                <w:sz w:val="20"/>
                <w:szCs w:val="20"/>
              </w:rPr>
            </w:pPr>
            <w:r w:rsidRPr="00142F54">
              <w:rPr>
                <w:sz w:val="20"/>
                <w:szCs w:val="20"/>
              </w:rPr>
              <w:t>15</w:t>
            </w:r>
          </w:p>
        </w:tc>
        <w:tc>
          <w:tcPr>
            <w:tcW w:w="709" w:type="dxa"/>
            <w:tcBorders>
              <w:top w:val="nil"/>
              <w:bottom w:val="single" w:sz="4" w:space="0" w:color="auto"/>
            </w:tcBorders>
            <w:shd w:val="clear" w:color="auto" w:fill="auto"/>
          </w:tcPr>
          <w:p w14:paraId="79A1465D" w14:textId="77777777" w:rsidR="00721CB3" w:rsidRPr="00142F54" w:rsidRDefault="00721CB3" w:rsidP="00253848">
            <w:pPr>
              <w:jc w:val="center"/>
              <w:rPr>
                <w:sz w:val="20"/>
                <w:szCs w:val="20"/>
              </w:rPr>
            </w:pPr>
            <w:r w:rsidRPr="00142F54">
              <w:rPr>
                <w:sz w:val="20"/>
                <w:szCs w:val="20"/>
              </w:rPr>
              <w:t>32,7</w:t>
            </w:r>
          </w:p>
        </w:tc>
        <w:tc>
          <w:tcPr>
            <w:tcW w:w="425" w:type="dxa"/>
            <w:tcBorders>
              <w:top w:val="nil"/>
              <w:bottom w:val="single" w:sz="4" w:space="0" w:color="auto"/>
            </w:tcBorders>
            <w:shd w:val="clear" w:color="auto" w:fill="auto"/>
          </w:tcPr>
          <w:p w14:paraId="3B155958" w14:textId="77777777" w:rsidR="00721CB3" w:rsidRPr="00142F54" w:rsidRDefault="00721CB3" w:rsidP="00253848">
            <w:pPr>
              <w:jc w:val="center"/>
              <w:rPr>
                <w:sz w:val="20"/>
                <w:szCs w:val="20"/>
              </w:rPr>
            </w:pPr>
            <w:r w:rsidRPr="00142F54">
              <w:rPr>
                <w:sz w:val="20"/>
                <w:szCs w:val="20"/>
              </w:rPr>
              <w:t>17</w:t>
            </w:r>
          </w:p>
        </w:tc>
        <w:tc>
          <w:tcPr>
            <w:tcW w:w="567" w:type="dxa"/>
            <w:tcBorders>
              <w:top w:val="nil"/>
              <w:bottom w:val="single" w:sz="4" w:space="0" w:color="auto"/>
            </w:tcBorders>
            <w:shd w:val="clear" w:color="auto" w:fill="auto"/>
          </w:tcPr>
          <w:p w14:paraId="3D114CAD" w14:textId="77777777" w:rsidR="00721CB3" w:rsidRPr="00142F54" w:rsidRDefault="00721CB3" w:rsidP="00253848">
            <w:pPr>
              <w:jc w:val="center"/>
              <w:rPr>
                <w:sz w:val="20"/>
                <w:szCs w:val="20"/>
              </w:rPr>
            </w:pPr>
            <w:r w:rsidRPr="00142F54">
              <w:rPr>
                <w:sz w:val="20"/>
                <w:szCs w:val="20"/>
              </w:rPr>
              <w:t>36,9</w:t>
            </w:r>
          </w:p>
        </w:tc>
        <w:tc>
          <w:tcPr>
            <w:tcW w:w="817" w:type="dxa"/>
            <w:vMerge/>
            <w:tcBorders>
              <w:bottom w:val="single" w:sz="4" w:space="0" w:color="auto"/>
            </w:tcBorders>
            <w:shd w:val="clear" w:color="auto" w:fill="auto"/>
          </w:tcPr>
          <w:p w14:paraId="5BB75C2B" w14:textId="77777777" w:rsidR="00721CB3" w:rsidRPr="00142F54" w:rsidRDefault="00721CB3" w:rsidP="00142F54">
            <w:pPr>
              <w:ind w:left="-4"/>
              <w:jc w:val="both"/>
              <w:rPr>
                <w:sz w:val="20"/>
                <w:szCs w:val="20"/>
              </w:rPr>
            </w:pPr>
          </w:p>
        </w:tc>
      </w:tr>
      <w:tr w:rsidR="00721CB3" w:rsidRPr="00142F54" w14:paraId="1637C430" w14:textId="77777777" w:rsidTr="00142F54">
        <w:tc>
          <w:tcPr>
            <w:tcW w:w="851" w:type="dxa"/>
            <w:vMerge w:val="restart"/>
            <w:tcBorders>
              <w:top w:val="single" w:sz="4" w:space="0" w:color="auto"/>
            </w:tcBorders>
            <w:shd w:val="clear" w:color="auto" w:fill="auto"/>
          </w:tcPr>
          <w:p w14:paraId="540EFC93" w14:textId="77777777" w:rsidR="00721CB3" w:rsidRPr="00142F54" w:rsidRDefault="00721CB3" w:rsidP="00253848">
            <w:pPr>
              <w:jc w:val="center"/>
              <w:rPr>
                <w:sz w:val="20"/>
                <w:szCs w:val="20"/>
              </w:rPr>
            </w:pPr>
            <w:r w:rsidRPr="00142F54">
              <w:rPr>
                <w:sz w:val="20"/>
                <w:szCs w:val="20"/>
              </w:rPr>
              <w:t>Sikap</w:t>
            </w:r>
          </w:p>
        </w:tc>
        <w:tc>
          <w:tcPr>
            <w:tcW w:w="851" w:type="dxa"/>
            <w:tcBorders>
              <w:top w:val="single" w:sz="4" w:space="0" w:color="auto"/>
              <w:bottom w:val="nil"/>
            </w:tcBorders>
            <w:shd w:val="clear" w:color="auto" w:fill="auto"/>
          </w:tcPr>
          <w:p w14:paraId="5DFC6765" w14:textId="77777777" w:rsidR="00721CB3" w:rsidRPr="00142F54" w:rsidRDefault="00721CB3" w:rsidP="00253848">
            <w:pPr>
              <w:jc w:val="both"/>
              <w:rPr>
                <w:sz w:val="20"/>
                <w:szCs w:val="20"/>
              </w:rPr>
            </w:pPr>
            <w:r w:rsidRPr="00142F54">
              <w:rPr>
                <w:sz w:val="20"/>
                <w:szCs w:val="20"/>
              </w:rPr>
              <w:t>Positif</w:t>
            </w:r>
          </w:p>
        </w:tc>
        <w:tc>
          <w:tcPr>
            <w:tcW w:w="425" w:type="dxa"/>
            <w:tcBorders>
              <w:top w:val="single" w:sz="4" w:space="0" w:color="auto"/>
              <w:bottom w:val="nil"/>
            </w:tcBorders>
            <w:shd w:val="clear" w:color="auto" w:fill="auto"/>
          </w:tcPr>
          <w:p w14:paraId="37177F49" w14:textId="77777777" w:rsidR="00721CB3" w:rsidRPr="00142F54" w:rsidRDefault="00721CB3" w:rsidP="00253848">
            <w:pPr>
              <w:jc w:val="center"/>
              <w:rPr>
                <w:sz w:val="20"/>
                <w:szCs w:val="20"/>
              </w:rPr>
            </w:pPr>
            <w:r w:rsidRPr="00142F54">
              <w:rPr>
                <w:sz w:val="20"/>
                <w:szCs w:val="20"/>
              </w:rPr>
              <w:t>13</w:t>
            </w:r>
          </w:p>
        </w:tc>
        <w:tc>
          <w:tcPr>
            <w:tcW w:w="567" w:type="dxa"/>
            <w:tcBorders>
              <w:top w:val="single" w:sz="4" w:space="0" w:color="auto"/>
              <w:bottom w:val="nil"/>
            </w:tcBorders>
            <w:shd w:val="clear" w:color="auto" w:fill="auto"/>
          </w:tcPr>
          <w:p w14:paraId="1B7AD516" w14:textId="77777777" w:rsidR="00721CB3" w:rsidRPr="00142F54" w:rsidRDefault="00721CB3" w:rsidP="00253848">
            <w:pPr>
              <w:jc w:val="center"/>
              <w:rPr>
                <w:sz w:val="20"/>
                <w:szCs w:val="20"/>
              </w:rPr>
            </w:pPr>
            <w:r w:rsidRPr="00142F54">
              <w:rPr>
                <w:sz w:val="20"/>
                <w:szCs w:val="20"/>
              </w:rPr>
              <w:t>28,2</w:t>
            </w:r>
          </w:p>
        </w:tc>
        <w:tc>
          <w:tcPr>
            <w:tcW w:w="425" w:type="dxa"/>
            <w:tcBorders>
              <w:top w:val="single" w:sz="4" w:space="0" w:color="auto"/>
              <w:bottom w:val="nil"/>
            </w:tcBorders>
            <w:shd w:val="clear" w:color="auto" w:fill="auto"/>
          </w:tcPr>
          <w:p w14:paraId="524D5DFF" w14:textId="77777777" w:rsidR="00721CB3" w:rsidRPr="00142F54" w:rsidRDefault="00721CB3" w:rsidP="00253848">
            <w:pPr>
              <w:jc w:val="center"/>
              <w:rPr>
                <w:sz w:val="20"/>
                <w:szCs w:val="20"/>
              </w:rPr>
            </w:pPr>
            <w:r w:rsidRPr="00142F54">
              <w:rPr>
                <w:sz w:val="20"/>
                <w:szCs w:val="20"/>
              </w:rPr>
              <w:t>9</w:t>
            </w:r>
          </w:p>
        </w:tc>
        <w:tc>
          <w:tcPr>
            <w:tcW w:w="709" w:type="dxa"/>
            <w:tcBorders>
              <w:top w:val="single" w:sz="4" w:space="0" w:color="auto"/>
              <w:bottom w:val="nil"/>
            </w:tcBorders>
            <w:shd w:val="clear" w:color="auto" w:fill="auto"/>
          </w:tcPr>
          <w:p w14:paraId="7D1BD188" w14:textId="77777777" w:rsidR="00721CB3" w:rsidRPr="00142F54" w:rsidRDefault="00721CB3" w:rsidP="00253848">
            <w:pPr>
              <w:jc w:val="center"/>
              <w:rPr>
                <w:sz w:val="20"/>
                <w:szCs w:val="20"/>
              </w:rPr>
            </w:pPr>
            <w:r w:rsidRPr="00142F54">
              <w:rPr>
                <w:sz w:val="20"/>
                <w:szCs w:val="20"/>
              </w:rPr>
              <w:t>19,6</w:t>
            </w:r>
          </w:p>
        </w:tc>
        <w:tc>
          <w:tcPr>
            <w:tcW w:w="425" w:type="dxa"/>
            <w:tcBorders>
              <w:top w:val="single" w:sz="4" w:space="0" w:color="auto"/>
              <w:bottom w:val="nil"/>
            </w:tcBorders>
            <w:shd w:val="clear" w:color="auto" w:fill="auto"/>
          </w:tcPr>
          <w:p w14:paraId="2F423CB4" w14:textId="77777777" w:rsidR="00721CB3" w:rsidRPr="00142F54" w:rsidRDefault="00721CB3" w:rsidP="00253848">
            <w:pPr>
              <w:jc w:val="center"/>
              <w:rPr>
                <w:sz w:val="20"/>
                <w:szCs w:val="20"/>
              </w:rPr>
            </w:pPr>
            <w:r w:rsidRPr="00142F54">
              <w:rPr>
                <w:sz w:val="20"/>
                <w:szCs w:val="20"/>
              </w:rPr>
              <w:t>22</w:t>
            </w:r>
          </w:p>
        </w:tc>
        <w:tc>
          <w:tcPr>
            <w:tcW w:w="567" w:type="dxa"/>
            <w:tcBorders>
              <w:top w:val="single" w:sz="4" w:space="0" w:color="auto"/>
              <w:bottom w:val="nil"/>
            </w:tcBorders>
            <w:shd w:val="clear" w:color="auto" w:fill="auto"/>
          </w:tcPr>
          <w:p w14:paraId="1B1F8741" w14:textId="77777777" w:rsidR="00721CB3" w:rsidRPr="00142F54" w:rsidRDefault="00721CB3" w:rsidP="00253848">
            <w:pPr>
              <w:jc w:val="center"/>
              <w:rPr>
                <w:sz w:val="20"/>
                <w:szCs w:val="20"/>
              </w:rPr>
            </w:pPr>
            <w:r w:rsidRPr="00142F54">
              <w:rPr>
                <w:sz w:val="20"/>
                <w:szCs w:val="20"/>
              </w:rPr>
              <w:t>47,8</w:t>
            </w:r>
          </w:p>
        </w:tc>
        <w:tc>
          <w:tcPr>
            <w:tcW w:w="817" w:type="dxa"/>
            <w:vMerge w:val="restart"/>
            <w:tcBorders>
              <w:top w:val="single" w:sz="4" w:space="0" w:color="auto"/>
            </w:tcBorders>
            <w:shd w:val="clear" w:color="auto" w:fill="auto"/>
          </w:tcPr>
          <w:p w14:paraId="2394957E" w14:textId="77777777" w:rsidR="00721CB3" w:rsidRPr="00142F54" w:rsidRDefault="00721CB3" w:rsidP="00142F54">
            <w:pPr>
              <w:ind w:left="-4"/>
              <w:jc w:val="both"/>
              <w:rPr>
                <w:sz w:val="20"/>
                <w:szCs w:val="20"/>
              </w:rPr>
            </w:pPr>
            <w:r w:rsidRPr="00142F54">
              <w:rPr>
                <w:sz w:val="20"/>
                <w:szCs w:val="20"/>
              </w:rPr>
              <w:t>0,000</w:t>
            </w:r>
          </w:p>
        </w:tc>
      </w:tr>
      <w:tr w:rsidR="00721CB3" w:rsidRPr="00142F54" w14:paraId="7FEF6C6C" w14:textId="77777777" w:rsidTr="00142F54">
        <w:tc>
          <w:tcPr>
            <w:tcW w:w="851" w:type="dxa"/>
            <w:vMerge/>
            <w:shd w:val="clear" w:color="auto" w:fill="auto"/>
          </w:tcPr>
          <w:p w14:paraId="746E2EDD" w14:textId="77777777" w:rsidR="00721CB3" w:rsidRPr="00142F54" w:rsidRDefault="00721CB3" w:rsidP="00253848">
            <w:pPr>
              <w:jc w:val="center"/>
              <w:rPr>
                <w:sz w:val="20"/>
                <w:szCs w:val="20"/>
              </w:rPr>
            </w:pPr>
          </w:p>
        </w:tc>
        <w:tc>
          <w:tcPr>
            <w:tcW w:w="851" w:type="dxa"/>
            <w:tcBorders>
              <w:top w:val="nil"/>
            </w:tcBorders>
            <w:shd w:val="clear" w:color="auto" w:fill="auto"/>
          </w:tcPr>
          <w:p w14:paraId="4208D4CA" w14:textId="77777777" w:rsidR="00721CB3" w:rsidRPr="00142F54" w:rsidRDefault="00721CB3" w:rsidP="00253848">
            <w:pPr>
              <w:jc w:val="both"/>
              <w:rPr>
                <w:sz w:val="20"/>
                <w:szCs w:val="20"/>
              </w:rPr>
            </w:pPr>
            <w:r w:rsidRPr="00142F54">
              <w:rPr>
                <w:sz w:val="20"/>
                <w:szCs w:val="20"/>
              </w:rPr>
              <w:t>Negatif</w:t>
            </w:r>
          </w:p>
        </w:tc>
        <w:tc>
          <w:tcPr>
            <w:tcW w:w="425" w:type="dxa"/>
            <w:tcBorders>
              <w:top w:val="nil"/>
            </w:tcBorders>
            <w:shd w:val="clear" w:color="auto" w:fill="auto"/>
          </w:tcPr>
          <w:p w14:paraId="67D810A3" w14:textId="77777777" w:rsidR="00721CB3" w:rsidRPr="00142F54" w:rsidRDefault="00721CB3" w:rsidP="00253848">
            <w:pPr>
              <w:jc w:val="center"/>
              <w:rPr>
                <w:sz w:val="20"/>
                <w:szCs w:val="20"/>
              </w:rPr>
            </w:pPr>
            <w:r w:rsidRPr="00142F54">
              <w:rPr>
                <w:sz w:val="20"/>
                <w:szCs w:val="20"/>
              </w:rPr>
              <w:t>1</w:t>
            </w:r>
          </w:p>
        </w:tc>
        <w:tc>
          <w:tcPr>
            <w:tcW w:w="567" w:type="dxa"/>
            <w:tcBorders>
              <w:top w:val="nil"/>
            </w:tcBorders>
            <w:shd w:val="clear" w:color="auto" w:fill="auto"/>
          </w:tcPr>
          <w:p w14:paraId="67033373" w14:textId="77777777" w:rsidR="00721CB3" w:rsidRPr="00142F54" w:rsidRDefault="00721CB3" w:rsidP="00253848">
            <w:pPr>
              <w:jc w:val="center"/>
              <w:rPr>
                <w:sz w:val="20"/>
                <w:szCs w:val="20"/>
              </w:rPr>
            </w:pPr>
            <w:r w:rsidRPr="00142F54">
              <w:rPr>
                <w:sz w:val="20"/>
                <w:szCs w:val="20"/>
              </w:rPr>
              <w:t>2,2</w:t>
            </w:r>
          </w:p>
        </w:tc>
        <w:tc>
          <w:tcPr>
            <w:tcW w:w="425" w:type="dxa"/>
            <w:tcBorders>
              <w:top w:val="nil"/>
            </w:tcBorders>
            <w:shd w:val="clear" w:color="auto" w:fill="auto"/>
          </w:tcPr>
          <w:p w14:paraId="00D9B4BF" w14:textId="77777777" w:rsidR="00721CB3" w:rsidRPr="00142F54" w:rsidRDefault="00721CB3" w:rsidP="00253848">
            <w:pPr>
              <w:jc w:val="center"/>
              <w:rPr>
                <w:sz w:val="20"/>
                <w:szCs w:val="20"/>
              </w:rPr>
            </w:pPr>
            <w:r w:rsidRPr="00142F54">
              <w:rPr>
                <w:sz w:val="20"/>
                <w:szCs w:val="20"/>
              </w:rPr>
              <w:t>23</w:t>
            </w:r>
          </w:p>
        </w:tc>
        <w:tc>
          <w:tcPr>
            <w:tcW w:w="709" w:type="dxa"/>
            <w:tcBorders>
              <w:top w:val="nil"/>
            </w:tcBorders>
            <w:shd w:val="clear" w:color="auto" w:fill="auto"/>
          </w:tcPr>
          <w:p w14:paraId="3AF7C16E" w14:textId="77777777" w:rsidR="00721CB3" w:rsidRPr="00142F54" w:rsidRDefault="00721CB3" w:rsidP="00253848">
            <w:pPr>
              <w:jc w:val="center"/>
              <w:rPr>
                <w:sz w:val="20"/>
                <w:szCs w:val="20"/>
              </w:rPr>
            </w:pPr>
            <w:r w:rsidRPr="00142F54">
              <w:rPr>
                <w:sz w:val="20"/>
                <w:szCs w:val="20"/>
              </w:rPr>
              <w:t>50</w:t>
            </w:r>
          </w:p>
        </w:tc>
        <w:tc>
          <w:tcPr>
            <w:tcW w:w="425" w:type="dxa"/>
            <w:tcBorders>
              <w:top w:val="nil"/>
            </w:tcBorders>
            <w:shd w:val="clear" w:color="auto" w:fill="auto"/>
          </w:tcPr>
          <w:p w14:paraId="4DC45BB9" w14:textId="77777777" w:rsidR="00721CB3" w:rsidRPr="00142F54" w:rsidRDefault="00721CB3" w:rsidP="00253848">
            <w:pPr>
              <w:jc w:val="center"/>
              <w:rPr>
                <w:sz w:val="20"/>
                <w:szCs w:val="20"/>
              </w:rPr>
            </w:pPr>
            <w:r w:rsidRPr="00142F54">
              <w:rPr>
                <w:sz w:val="20"/>
                <w:szCs w:val="20"/>
              </w:rPr>
              <w:t>24</w:t>
            </w:r>
          </w:p>
        </w:tc>
        <w:tc>
          <w:tcPr>
            <w:tcW w:w="567" w:type="dxa"/>
            <w:tcBorders>
              <w:top w:val="nil"/>
            </w:tcBorders>
            <w:shd w:val="clear" w:color="auto" w:fill="auto"/>
          </w:tcPr>
          <w:p w14:paraId="00FFA772" w14:textId="77777777" w:rsidR="00721CB3" w:rsidRPr="00142F54" w:rsidRDefault="00721CB3" w:rsidP="00253848">
            <w:pPr>
              <w:jc w:val="center"/>
              <w:rPr>
                <w:sz w:val="20"/>
                <w:szCs w:val="20"/>
              </w:rPr>
            </w:pPr>
            <w:r w:rsidRPr="00142F54">
              <w:rPr>
                <w:sz w:val="20"/>
                <w:szCs w:val="20"/>
              </w:rPr>
              <w:t>52,2</w:t>
            </w:r>
          </w:p>
        </w:tc>
        <w:tc>
          <w:tcPr>
            <w:tcW w:w="817" w:type="dxa"/>
            <w:vMerge/>
            <w:shd w:val="clear" w:color="auto" w:fill="auto"/>
          </w:tcPr>
          <w:p w14:paraId="6AC76EB8" w14:textId="77777777" w:rsidR="00721CB3" w:rsidRPr="00142F54" w:rsidRDefault="00721CB3" w:rsidP="00253848">
            <w:pPr>
              <w:jc w:val="both"/>
              <w:rPr>
                <w:sz w:val="20"/>
                <w:szCs w:val="20"/>
              </w:rPr>
            </w:pPr>
          </w:p>
        </w:tc>
      </w:tr>
    </w:tbl>
    <w:p w14:paraId="1F1F600D" w14:textId="77777777" w:rsidR="00721CB3" w:rsidRPr="00721CB3" w:rsidRDefault="00721CB3" w:rsidP="00721CB3">
      <w:pPr>
        <w:ind w:left="270"/>
        <w:jc w:val="both"/>
        <w:rPr>
          <w:sz w:val="24"/>
          <w:szCs w:val="24"/>
        </w:rPr>
      </w:pPr>
      <w:r w:rsidRPr="00721CB3">
        <w:rPr>
          <w:sz w:val="24"/>
          <w:szCs w:val="24"/>
        </w:rPr>
        <w:t>Sumber : Analisa Bivariat (2024)</w:t>
      </w:r>
    </w:p>
    <w:p w14:paraId="1F15D957" w14:textId="11B48D18" w:rsidR="00721CB3" w:rsidRPr="00721CB3" w:rsidRDefault="00721CB3" w:rsidP="00721CB3">
      <w:pPr>
        <w:pStyle w:val="BodyText"/>
        <w:ind w:left="112" w:right="153" w:firstLine="568"/>
        <w:jc w:val="both"/>
        <w:rPr>
          <w:sz w:val="24"/>
          <w:szCs w:val="24"/>
        </w:rPr>
      </w:pPr>
      <w:r w:rsidRPr="00721CB3">
        <w:rPr>
          <w:sz w:val="24"/>
          <w:szCs w:val="24"/>
        </w:rPr>
        <w:t xml:space="preserve">Berdasarkan Tabel 2. didapatkan  hasil bahwa hubungan pengetahuan terhadap pencegahan anemia diperoleh hasil bahwa dari 46 responden mayoritas responden dengan pencegahan anemia yang baik memiliki tingkat pengetahuan yang cukup yaitu 11 orang (23,9%) dan sikap yang positif sebanyak 13 orang (28,2%), dengan </w:t>
      </w:r>
      <w:r w:rsidRPr="00721CB3">
        <w:rPr>
          <w:i/>
          <w:iCs/>
          <w:sz w:val="24"/>
          <w:szCs w:val="24"/>
        </w:rPr>
        <w:lastRenderedPageBreak/>
        <w:t xml:space="preserve">p-value </w:t>
      </w:r>
      <w:r w:rsidRPr="00721CB3">
        <w:rPr>
          <w:sz w:val="24"/>
          <w:szCs w:val="24"/>
        </w:rPr>
        <w:t>0,001</w:t>
      </w:r>
      <w:r w:rsidRPr="00721CB3">
        <w:rPr>
          <w:i/>
          <w:iCs/>
          <w:sz w:val="24"/>
          <w:szCs w:val="24"/>
        </w:rPr>
        <w:t>.</w:t>
      </w:r>
      <w:r w:rsidRPr="00721CB3">
        <w:rPr>
          <w:sz w:val="24"/>
          <w:szCs w:val="24"/>
        </w:rPr>
        <w:t xml:space="preserve"> Sedangkan dari 46 responden mayoritas responden dengan pencegahan anemia yang tidak baik memiliki tingkat pengetahuan yang kurang yaitu 15 orang (32,7%) dan sikap yang negatif sebanyak 23 orang (50%), dengan </w:t>
      </w:r>
      <w:r w:rsidRPr="00721CB3">
        <w:rPr>
          <w:i/>
          <w:iCs/>
          <w:sz w:val="24"/>
          <w:szCs w:val="24"/>
        </w:rPr>
        <w:t xml:space="preserve">p-value </w:t>
      </w:r>
      <w:r w:rsidRPr="00721CB3">
        <w:rPr>
          <w:sz w:val="24"/>
          <w:szCs w:val="24"/>
        </w:rPr>
        <w:t>0,000.</w:t>
      </w:r>
    </w:p>
    <w:p w14:paraId="37A88C39" w14:textId="77777777" w:rsidR="00721CB3" w:rsidRPr="00721CB3" w:rsidRDefault="00721CB3">
      <w:pPr>
        <w:pStyle w:val="BodyText"/>
        <w:ind w:left="112" w:right="153" w:firstLine="568"/>
        <w:jc w:val="both"/>
        <w:rPr>
          <w:sz w:val="24"/>
          <w:szCs w:val="24"/>
        </w:rPr>
      </w:pPr>
    </w:p>
    <w:p w14:paraId="3FDC5EDF" w14:textId="77777777" w:rsidR="007B449A" w:rsidRDefault="00000000">
      <w:pPr>
        <w:pStyle w:val="Heading1"/>
        <w:spacing w:line="253" w:lineRule="exact"/>
      </w:pPr>
      <w:r>
        <w:rPr>
          <w:spacing w:val="-2"/>
        </w:rPr>
        <w:t>PEMBAHASAN</w:t>
      </w:r>
    </w:p>
    <w:p w14:paraId="3A82B8A7" w14:textId="6182BA93" w:rsidR="00721CB3" w:rsidRDefault="00721CB3" w:rsidP="00721CB3">
      <w:pPr>
        <w:ind w:firstLine="567"/>
        <w:jc w:val="both"/>
        <w:rPr>
          <w:lang w:eastAsia="id-ID"/>
        </w:rPr>
      </w:pPr>
      <w:r w:rsidRPr="00721CB3">
        <w:rPr>
          <w:lang w:eastAsia="id-ID"/>
        </w:rPr>
        <w:t xml:space="preserve">Anemia pada remaja dapat menyebabkan gangguan pertumbuhan sehingga tinggi badan remaja menjadi tidak mencapai optimal, mengakibatkan penurunan kemampuan fisik, mengakibatkan muka tampak pucat, kebugaran tubuh berkurang, konsentrasi belajar, kemampuan berpikir dan prestasi menurun. Keadaan anemia pada remaja putri akan mempengaruhi status kesehatan pada saat menjadi wanita usia subur. Remaja putri dengan anemia berisiko menjadi wanita usia subur dengan anemia </w:t>
      </w:r>
      <w:r w:rsidRPr="00721CB3">
        <w:rPr>
          <w:lang w:eastAsia="id-ID"/>
        </w:rPr>
        <w:fldChar w:fldCharType="begin" w:fldLock="1"/>
      </w:r>
      <w:r w:rsidRPr="00721CB3">
        <w:rPr>
          <w:lang w:eastAsia="id-ID"/>
        </w:rPr>
        <w:instrText>ADDIN CSL_CITATION {"citationItems":[{"id":"ITEM-1","itemData":{"author":[{"dropping-particle":"","family":"Kementerian Kesehatan RI","given":"","non-dropping-particle":"","parse-names":false,"suffix":""}],"id":"ITEM-1","issued":{"date-parts":[["2018"]]},"title":"Pedoman Pencegahan dan Penanggulangan Anemia Pada Remaja Puteri dan Wanita Usia Subur (WUS)","type":"article-journal"},"uris":["http://www.mendeley.com/documents/?uuid=809600e6-45a6-4bd4-9bcc-24d8cdd40d31"]}],"mendeley":{"formattedCitation":"(Kementerian Kesehatan RI, 2018)","plainTextFormattedCitation":"(Kementerian Kesehatan RI, 2018)","previouslyFormattedCitation":"(Kementerian Kesehatan RI, 2018)"},"properties":{"noteIndex":0},"schema":"https://github.com/citation-style-language/schema/raw/master/csl-citation.json"}</w:instrText>
      </w:r>
      <w:r w:rsidRPr="00721CB3">
        <w:rPr>
          <w:lang w:eastAsia="id-ID"/>
        </w:rPr>
        <w:fldChar w:fldCharType="separate"/>
      </w:r>
      <w:r w:rsidRPr="00721CB3">
        <w:rPr>
          <w:noProof/>
          <w:lang w:eastAsia="id-ID"/>
        </w:rPr>
        <w:t>(Kementerian Kesehatan RI, 2018)</w:t>
      </w:r>
      <w:r w:rsidRPr="00721CB3">
        <w:rPr>
          <w:lang w:eastAsia="id-ID"/>
        </w:rPr>
        <w:fldChar w:fldCharType="end"/>
      </w:r>
      <w:r w:rsidRPr="00721CB3">
        <w:rPr>
          <w:lang w:eastAsia="id-ID"/>
        </w:rPr>
        <w:t>.</w:t>
      </w:r>
    </w:p>
    <w:p w14:paraId="6F3C8778" w14:textId="0CE284C7" w:rsidR="00142F54" w:rsidRPr="00145F98" w:rsidRDefault="00142F54" w:rsidP="00721CB3">
      <w:pPr>
        <w:ind w:firstLine="567"/>
        <w:jc w:val="both"/>
        <w:rPr>
          <w:lang w:val="en-US" w:eastAsia="id-ID"/>
        </w:rPr>
      </w:pPr>
      <w:r>
        <w:rPr>
          <w:lang w:val="en-US" w:eastAsia="id-ID"/>
        </w:rPr>
        <w:t>Berdasarkan penelitian yang dilakukan didapatkan bahwa terdapat hubungan antara pengetahuan (</w:t>
      </w:r>
      <w:r>
        <w:rPr>
          <w:i/>
          <w:iCs/>
          <w:lang w:val="en-US" w:eastAsia="id-ID"/>
        </w:rPr>
        <w:t xml:space="preserve">p-value </w:t>
      </w:r>
      <w:r>
        <w:rPr>
          <w:lang w:val="en-US" w:eastAsia="id-ID"/>
        </w:rPr>
        <w:t>0,001) dan sikap (</w:t>
      </w:r>
      <w:r>
        <w:rPr>
          <w:i/>
          <w:iCs/>
          <w:lang w:val="en-US" w:eastAsia="id-ID"/>
        </w:rPr>
        <w:t xml:space="preserve">p-value </w:t>
      </w:r>
      <w:r>
        <w:rPr>
          <w:lang w:val="en-US" w:eastAsia="id-ID"/>
        </w:rPr>
        <w:t xml:space="preserve">0,000) remaja puteri terhadap pencegahan anemia. Penelitian ini sejalan dengan penelitian yang telah dilakukan oleh </w:t>
      </w:r>
      <w:r w:rsidR="00145F98">
        <w:rPr>
          <w:lang w:val="en-US" w:eastAsia="id-ID"/>
        </w:rPr>
        <w:t>Siregar dkk (2023) dimana pengetahuan memiliki hubungan yang signifikan (</w:t>
      </w:r>
      <w:r w:rsidR="00145F98">
        <w:rPr>
          <w:i/>
          <w:iCs/>
          <w:lang w:val="en-US" w:eastAsia="id-ID"/>
        </w:rPr>
        <w:t xml:space="preserve">p-value </w:t>
      </w:r>
      <w:r w:rsidR="00145F98">
        <w:rPr>
          <w:lang w:val="en-US" w:eastAsia="id-ID"/>
        </w:rPr>
        <w:t>0,031) dan sikap (</w:t>
      </w:r>
      <w:r w:rsidR="00145F98">
        <w:rPr>
          <w:i/>
          <w:iCs/>
          <w:lang w:val="en-US" w:eastAsia="id-ID"/>
        </w:rPr>
        <w:t xml:space="preserve">p-value </w:t>
      </w:r>
      <w:r w:rsidR="00145F98">
        <w:rPr>
          <w:lang w:val="en-US" w:eastAsia="id-ID"/>
        </w:rPr>
        <w:t xml:space="preserve">0,000) yang dimiliki para siswi dengan terjadinya anemia </w:t>
      </w:r>
      <w:r w:rsidR="00145F98">
        <w:rPr>
          <w:lang w:val="en-US" w:eastAsia="id-ID"/>
        </w:rPr>
        <w:fldChar w:fldCharType="begin" w:fldLock="1"/>
      </w:r>
      <w:r w:rsidR="00145F98">
        <w:rPr>
          <w:lang w:val="en-US" w:eastAsia="id-ID"/>
        </w:rPr>
        <w:instrText>ADDIN CSL_CITATION {"citationItems":[{"id":"ITEM-1","itemData":{"ISSN":"2622-5905","author":[{"dropping-particle":"","family":"Siregar","given":"Eka Darmayanti Putri","non-dropping-particle":"","parse-names":false,"suffix":""},{"dropping-particle":"","family":"Pasaribu","given":"Selli M","non-dropping-particle":"","parse-names":false,"suffix":""},{"dropping-particle":"","family":"Sipahutar","given":"Dame Meldaria","non-dropping-particle":"","parse-names":false,"suffix":""}],"container-title":"Health Information: Jurnal Penelitian","id":"ITEM-1","issued":{"date-parts":[["2023"]]},"page":"e1252-e1252","title":"Pengetahuan yang Baik dan Sikap Positif Berperan dalam Mencegah Anemia pada Remaja Putri","type":"article-journal"},"uris":["http://www.mendeley.com/documents/?uuid=ff3b90e3-67d2-407b-a845-eb97e74c8b77"]}],"mendeley":{"formattedCitation":"(Siregar et al., 2023)","plainTextFormattedCitation":"(Siregar et al., 2023)"},"properties":{"noteIndex":0},"schema":"https://github.com/citation-style-language/schema/raw/master/csl-citation.json"}</w:instrText>
      </w:r>
      <w:r w:rsidR="00145F98">
        <w:rPr>
          <w:lang w:val="en-US" w:eastAsia="id-ID"/>
        </w:rPr>
        <w:fldChar w:fldCharType="separate"/>
      </w:r>
      <w:r w:rsidR="00145F98" w:rsidRPr="00145F98">
        <w:rPr>
          <w:noProof/>
          <w:lang w:val="en-US" w:eastAsia="id-ID"/>
        </w:rPr>
        <w:t>(Siregar et al., 2023)</w:t>
      </w:r>
      <w:r w:rsidR="00145F98">
        <w:rPr>
          <w:lang w:val="en-US" w:eastAsia="id-ID"/>
        </w:rPr>
        <w:fldChar w:fldCharType="end"/>
      </w:r>
      <w:r w:rsidR="00145F98">
        <w:rPr>
          <w:lang w:val="en-US" w:eastAsia="id-ID"/>
        </w:rPr>
        <w:t>.</w:t>
      </w:r>
    </w:p>
    <w:p w14:paraId="43F2A6D3" w14:textId="762A1FB0" w:rsidR="00721CB3" w:rsidRPr="00721CB3" w:rsidRDefault="00721CB3" w:rsidP="00721CB3">
      <w:pPr>
        <w:ind w:firstLine="567"/>
        <w:jc w:val="both"/>
        <w:rPr>
          <w:lang w:eastAsia="id-ID"/>
        </w:rPr>
      </w:pPr>
      <w:r w:rsidRPr="00721CB3">
        <w:rPr>
          <w:lang w:eastAsia="id-ID"/>
        </w:rPr>
        <w:t xml:space="preserve">Penyuluhan tentang anemia menjadi sangat penting bagi remaja perempuan untuk menciptakan kesadaran dan menyebarluaskan pengetahuan terkait pengendalian dan pencegahan anemia. Penelitian sebelumnya menemukan bahwa meningkatkan pengetahuan adalah salah satu tahapan awal menuju perubahan perilaku yang lebih baik. Oleh karena itu, pengetahuan gizi merupakan dasar penting untuk kebiasaan makan yang baik. Individu yang memiliki pengetahuan gizi lebih baik memiliki sikap terhadap makan makanan yang lebih sehat. Sebaliknya, pengetahuan yang buruk merupakan salah satu faktor risiko mengembangkan malnutrisi </w:t>
      </w:r>
      <w:r w:rsidRPr="00721CB3">
        <w:rPr>
          <w:lang w:eastAsia="id-ID"/>
        </w:rPr>
        <w:fldChar w:fldCharType="begin" w:fldLock="1"/>
      </w:r>
      <w:r w:rsidR="00145F98">
        <w:rPr>
          <w:lang w:eastAsia="id-ID"/>
        </w:rPr>
        <w:instrText>ADDIN CSL_CITATION {"citationItems":[{"id":"ITEM-1","itemData":{"abstract":"Young women are said to be anemic if Hb levels&lt; 12 g/dl. World Health Organization&gt; 30% or 2 billion people in the world are having anemia status. Lack of micronutrients such as: iodine, vitamin A and iron in the diet can cause anemia. This study aims to determine the …","author":[{"dropping-particle":"","family":"Adiyani","given":"K","non-dropping-particle":"","parse-names":false,"suffix":""},{"dropping-particle":"","family":"Heriyani","given":"F","non-dropping-particle":"","parse-names":false,"suffix":""},{"dropping-particle":"","family":"Rosida","given":"L","non-dropping-particle":"","parse-names":false,"suffix":""}],"container-title":"Homeostasis","id":"ITEM-1","issued":{"date-parts":[["2020"]]},"page":"1-7","title":"Hubungan Status Gizi dengan Kejadian Anemia pada Remaja Putri di SMA PGRI 4 Banjarmasin","type":"article-journal","volume":"1"},"uris":["http://www.mendeley.com/documents/?uuid=8d8bb585-9cf7-45a9-81b6-531d5f26f94c"]}],"mendeley":{"formattedCitation":"(Adiyani et al., 2020)","plainTextFormattedCitation":"(Adiyani et al., 2020)","previouslyFormattedCitation":"(Adiyani et al., 2020)"},"properties":{"noteIndex":0},"schema":"https://github.com/citation-style-language/schema/raw/master/csl-citation.json"}</w:instrText>
      </w:r>
      <w:r w:rsidRPr="00721CB3">
        <w:rPr>
          <w:lang w:eastAsia="id-ID"/>
        </w:rPr>
        <w:fldChar w:fldCharType="separate"/>
      </w:r>
      <w:r w:rsidRPr="00721CB3">
        <w:rPr>
          <w:noProof/>
          <w:lang w:eastAsia="id-ID"/>
        </w:rPr>
        <w:t>(Adiyani et al., 2020)</w:t>
      </w:r>
      <w:r w:rsidRPr="00721CB3">
        <w:rPr>
          <w:lang w:eastAsia="id-ID"/>
        </w:rPr>
        <w:fldChar w:fldCharType="end"/>
      </w:r>
      <w:r w:rsidRPr="00721CB3">
        <w:rPr>
          <w:lang w:eastAsia="id-ID"/>
        </w:rPr>
        <w:t>.</w:t>
      </w:r>
    </w:p>
    <w:p w14:paraId="4EF6C36B" w14:textId="05C662BC" w:rsidR="00721CB3" w:rsidRPr="00721CB3" w:rsidRDefault="00721CB3" w:rsidP="00721CB3">
      <w:pPr>
        <w:ind w:firstLine="567"/>
        <w:jc w:val="both"/>
      </w:pPr>
      <w:r w:rsidRPr="00721CB3">
        <w:rPr>
          <w:lang w:eastAsia="id-ID"/>
        </w:rPr>
        <w:t xml:space="preserve">Menurut asumsi peneliti, pengetahuan remaja puteri tentang pencegahan anemia dapat dengan mudah diperoleh apabila remaja puteri memiliki motivasi untuk mengetahui tentang dampak anemia baik jangka pendek maupun jangka panjang. Selain itu keterpaparan informasi juga sangat berpengaruh, dimana akses internet yang mudah akan memberikan informasi terkait pencegahan anemia apabila kesadaran diri tentang kesehatan tinggi. </w:t>
      </w:r>
      <w:r w:rsidRPr="00721CB3">
        <w:rPr>
          <w:lang w:eastAsia="id-ID"/>
        </w:rPr>
        <w:t xml:space="preserve">Diperlukan adanya kegiatan edukasi tentang pencegahan anemia yang dilakukan oleh pihak puskemas yang bekerja sama dengan pihak sekolah untuk melakukan kegiatan rutin dalam memberikan edukasi kesehatan. Remaja puteri dengan pengetahuan yang masih dalam kategori kurang meskipun telah dilakukan edukasi dapat disebabkan karena remaja puteri kurang fokus dalam menyimak materi saat dilakukan edukasi dan motivasi remaja puteri yang rendah </w:t>
      </w:r>
      <w:r w:rsidRPr="00721CB3">
        <w:rPr>
          <w:lang w:eastAsia="id-ID"/>
        </w:rPr>
        <w:fldChar w:fldCharType="begin" w:fldLock="1"/>
      </w:r>
      <w:r w:rsidR="00145F98">
        <w:rPr>
          <w:lang w:eastAsia="id-ID"/>
        </w:rPr>
        <w:instrText>ADDIN CSL_CITATION {"citationItems":[{"id":"ITEM-1","itemData":{"ISSN":"2597-6052","author":[{"dropping-particle":"","family":"Az-zahra","given":"Karina","non-dropping-particle":"","parse-names":false,"suffix":""},{"dropping-particle":"","family":"Kurniasari","given":"Ratih","non-dropping-particle":"","parse-names":false,"suffix":""}],"container-title":"Media Publikasi Promosi Kesehatan Indonesia (MPPKI)","id":"ITEM-1","issue":"6","issued":{"date-parts":[["2022"]]},"page":"618-627","title":"Efektivitas pemberian media edukasi gizi yang menarik dan inovatif terhadap pencegahan anemia kepada remaja putri: literature review","type":"article-journal","volume":"5"},"uris":["http://www.mendeley.com/documents/?uuid=f76d9dfb-8eff-46f3-b48f-802b2e56aba7"]}],"mendeley":{"formattedCitation":"(Az-zahra &amp; Kurniasari, 2022)","plainTextFormattedCitation":"(Az-zahra &amp; Kurniasari, 2022)","previouslyFormattedCitation":"(Az-zahra &amp; Kurniasari, 2022)"},"properties":{"noteIndex":0},"schema":"https://github.com/citation-style-language/schema/raw/master/csl-citation.json"}</w:instrText>
      </w:r>
      <w:r w:rsidRPr="00721CB3">
        <w:rPr>
          <w:lang w:eastAsia="id-ID"/>
        </w:rPr>
        <w:fldChar w:fldCharType="separate"/>
      </w:r>
      <w:r w:rsidRPr="00721CB3">
        <w:rPr>
          <w:noProof/>
          <w:lang w:eastAsia="id-ID"/>
        </w:rPr>
        <w:t>(Az-zahra &amp; Kurniasari, 2022)</w:t>
      </w:r>
      <w:r w:rsidRPr="00721CB3">
        <w:rPr>
          <w:lang w:eastAsia="id-ID"/>
        </w:rPr>
        <w:fldChar w:fldCharType="end"/>
      </w:r>
      <w:r w:rsidRPr="00721CB3">
        <w:rPr>
          <w:lang w:eastAsia="id-ID"/>
        </w:rPr>
        <w:t>.</w:t>
      </w:r>
    </w:p>
    <w:p w14:paraId="6BB3C6BF" w14:textId="7EFBBFE6" w:rsidR="00721CB3" w:rsidRPr="00721CB3" w:rsidRDefault="00721CB3" w:rsidP="00721CB3">
      <w:pPr>
        <w:ind w:firstLine="720"/>
        <w:jc w:val="both"/>
      </w:pPr>
      <w:r w:rsidRPr="00721CB3">
        <w:rPr>
          <w:lang w:eastAsia="id-ID"/>
        </w:rPr>
        <w:t xml:space="preserve">Seseorang dengan pengetahuan baik akan mempengaruhi orang tersebut untuk bersikap positif dalam melakukan pencegahan anemia. Adanya peningkatan pengetahuan yang ditunjang oleh pendidikan dan pengalaman, mempunyai dampak dalam menentukan sikap terhadap apa yang dilakukannya </w:t>
      </w:r>
      <w:r w:rsidRPr="00721CB3">
        <w:rPr>
          <w:lang w:eastAsia="id-ID"/>
        </w:rPr>
        <w:fldChar w:fldCharType="begin" w:fldLock="1"/>
      </w:r>
      <w:r w:rsidR="00145F98">
        <w:rPr>
          <w:lang w:eastAsia="id-ID"/>
        </w:rPr>
        <w:instrText>ADDIN CSL_CITATION {"citationItems":[{"id":"ITEM-1","itemData":{"ISSN":"2656-5668","author":[{"dropping-particle":"","family":"Chrisnawati","given":"Chrisnawati","non-dropping-particle":"","parse-names":false,"suffix":""},{"dropping-particle":"","family":"Maratning","given":"Anastasia","non-dropping-particle":"","parse-names":false,"suffix":""},{"dropping-particle":"","family":"Trihandini","given":"Bernadeta","non-dropping-particle":"","parse-names":false,"suffix":""},{"dropping-particle":"","family":"Ramdhani","given":"Nanda Putri","non-dropping-particle":"","parse-names":false,"suffix":""},{"dropping-particle":"","family":"Hasan","given":"Yohanes Brekman","non-dropping-particle":"","parse-names":false,"suffix":""}],"container-title":"JURNAL SUAKA INSAN MENGABDI (JSIM)","id":"ITEM-1","issue":"2","issued":{"date-parts":[["2024"]]},"page":"1-7","title":"Promosi Kesehatan tentang Pencegahan Anemia pada Remaja Putri di SMP Anggrek Banjarmasin","type":"article-journal","volume":"6"},"uris":["http://www.mendeley.com/documents/?uuid=42eca215-dec7-43aa-9bc2-ceaa2d966c4f"]}],"mendeley":{"formattedCitation":"(Chrisnawati et al., 2024)","plainTextFormattedCitation":"(Chrisnawati et al., 2024)","previouslyFormattedCitation":"(Chrisnawati et al., 2024)"},"properties":{"noteIndex":0},"schema":"https://github.com/citation-style-language/schema/raw/master/csl-citation.json"}</w:instrText>
      </w:r>
      <w:r w:rsidRPr="00721CB3">
        <w:rPr>
          <w:lang w:eastAsia="id-ID"/>
        </w:rPr>
        <w:fldChar w:fldCharType="separate"/>
      </w:r>
      <w:r w:rsidRPr="00721CB3">
        <w:rPr>
          <w:noProof/>
          <w:lang w:eastAsia="id-ID"/>
        </w:rPr>
        <w:t>(Chrisnawati et al., 2024)</w:t>
      </w:r>
      <w:r w:rsidRPr="00721CB3">
        <w:rPr>
          <w:lang w:eastAsia="id-ID"/>
        </w:rPr>
        <w:fldChar w:fldCharType="end"/>
      </w:r>
      <w:r w:rsidRPr="00721CB3">
        <w:rPr>
          <w:lang w:eastAsia="id-ID"/>
        </w:rPr>
        <w:t xml:space="preserve">. Informasi yang diberikan pada penyuluhan dapat menambah pengetahuan remaja puteri tentang pencegahan anemia. Semakin sering remaja puteri mendapat informasi kesehatan khususnya tentang anemia, maka semakin baik pula pengetahuan dan sikap remaja dalam pencegahan anemia </w:t>
      </w:r>
      <w:r w:rsidRPr="00721CB3">
        <w:rPr>
          <w:lang w:eastAsia="id-ID"/>
        </w:rPr>
        <w:fldChar w:fldCharType="begin" w:fldLock="1"/>
      </w:r>
      <w:r w:rsidR="00145F98">
        <w:rPr>
          <w:lang w:eastAsia="id-ID"/>
        </w:rPr>
        <w:instrText>ADDIN CSL_CITATION {"citationItems":[{"id":"ITEM-1","itemData":{"ISSN":"2722-4333","author":[{"dropping-particle":"","family":"Izdihar","given":"Muhammad Sultan","non-dropping-particle":"","parse-names":false,"suffix":""},{"dropping-particle":"","family":"Noor","given":"Meitria Syahdatina","non-dropping-particle":"","parse-names":false,"suffix":""},{"dropping-particle":"","family":"Istiana","given":"Istiana","non-dropping-particle":"","parse-names":false,"suffix":""},{"dropping-particle":"","family":"Juhairina","given":"Juhairina","non-dropping-particle":"","parse-names":false,"suffix":""},{"dropping-particle":"","family":"Skripsiana","given":"Nika Sterina","non-dropping-particle":"","parse-names":false,"suffix":""}],"container-title":"Homeostasis","id":"ITEM-1","issue":"2","issued":{"date-parts":[["2022"]]},"page":"333-342","title":"Hubungan Pengetahuan dan Sikap tentang Anemia dengan Perilaku Pencegahan Anemia pada Remaja Puteri di SMAIT Ukhuwah Banjarmasin","type":"article-journal","volume":"5"},"uris":["http://www.mendeley.com/documents/?uuid=14d5d5f1-ae0e-4d87-8296-633969f482c5"]}],"mendeley":{"formattedCitation":"(Izdihar et al., 2022)","plainTextFormattedCitation":"(Izdihar et al., 2022)","previouslyFormattedCitation":"(Izdihar et al., 2022)"},"properties":{"noteIndex":0},"schema":"https://github.com/citation-style-language/schema/raw/master/csl-citation.json"}</w:instrText>
      </w:r>
      <w:r w:rsidRPr="00721CB3">
        <w:rPr>
          <w:lang w:eastAsia="id-ID"/>
        </w:rPr>
        <w:fldChar w:fldCharType="separate"/>
      </w:r>
      <w:r w:rsidRPr="00721CB3">
        <w:rPr>
          <w:noProof/>
          <w:lang w:eastAsia="id-ID"/>
        </w:rPr>
        <w:t>(Izdihar et al., 2022)</w:t>
      </w:r>
      <w:r w:rsidRPr="00721CB3">
        <w:rPr>
          <w:lang w:eastAsia="id-ID"/>
        </w:rPr>
        <w:fldChar w:fldCharType="end"/>
      </w:r>
      <w:r w:rsidRPr="00721CB3">
        <w:rPr>
          <w:lang w:eastAsia="id-ID"/>
        </w:rPr>
        <w:t xml:space="preserve">. </w:t>
      </w:r>
    </w:p>
    <w:p w14:paraId="6ADC7649" w14:textId="199575F9" w:rsidR="00721CB3" w:rsidRPr="00721CB3" w:rsidRDefault="00721CB3" w:rsidP="00721CB3">
      <w:pPr>
        <w:pStyle w:val="ListParagraph"/>
        <w:ind w:firstLine="632"/>
        <w:jc w:val="both"/>
        <w:rPr>
          <w:lang w:eastAsia="id-ID"/>
        </w:rPr>
      </w:pPr>
      <w:r w:rsidRPr="00721CB3">
        <w:rPr>
          <w:lang w:eastAsia="id-ID"/>
        </w:rPr>
        <w:t xml:space="preserve">Upaya dalam peningkatan sikap remaja puteri melalui penyuluhan terkait pencegahan anemia merupakan langkah yang tepat dilakukan oleh tenaga kesehatan dan didukung oleh pihak yang peduli, artinya semakin baik pengetahuan remaja puteri tentang pencegahan anemia maka sikap positif akan muncul dalam menghadapi anemia </w:t>
      </w:r>
      <w:r w:rsidRPr="00721CB3">
        <w:rPr>
          <w:lang w:eastAsia="id-ID"/>
        </w:rPr>
        <w:fldChar w:fldCharType="begin" w:fldLock="1"/>
      </w:r>
      <w:r w:rsidR="00145F98">
        <w:rPr>
          <w:lang w:eastAsia="id-ID"/>
        </w:rPr>
        <w:instrText>ADDIN CSL_CITATION {"citationItems":[{"id":"ITEM-1","itemData":{"ISSN":"2686-6366","author":[{"dropping-particle":"","family":"Kasumawati","given":"Frida","non-dropping-particle":"","parse-names":false,"suffix":""},{"dropping-particle":"","family":"Holidah","given":"Holidah","non-dropping-particle":"","parse-names":false,"suffix":""},{"dropping-particle":"","family":"Jasman","given":"Novia Ardana","non-dropping-particle":"","parse-names":false,"suffix":""}],"container-title":"Edu Dharma Journal: Jurnal penelitian dan pengabdian masyarakat","id":"ITEM-1","issue":"1","issued":{"date-parts":[["2020"]]},"page":"1-9","title":"Hubungan pengetahuan dan sikap remaja putri serta paparan media informasi terhadap perilaku pencegahan anemia di SMA Muhammadiyah 04 Kota Depok","type":"article-journal","volume":"4"},"uris":["http://www.mendeley.com/documents/?uuid=11739a00-4c43-42e0-8411-c0bae5c7c856"]}],"mendeley":{"formattedCitation":"(Kasumawati et al., 2020)","plainTextFormattedCitation":"(Kasumawati et al., 2020)","previouslyFormattedCitation":"(Kasumawati et al., 2020)"},"properties":{"noteIndex":0},"schema":"https://github.com/citation-style-language/schema/raw/master/csl-citation.json"}</w:instrText>
      </w:r>
      <w:r w:rsidRPr="00721CB3">
        <w:rPr>
          <w:lang w:eastAsia="id-ID"/>
        </w:rPr>
        <w:fldChar w:fldCharType="separate"/>
      </w:r>
      <w:r w:rsidRPr="00721CB3">
        <w:rPr>
          <w:noProof/>
          <w:lang w:eastAsia="id-ID"/>
        </w:rPr>
        <w:t>(Kasumawati et al., 2020)</w:t>
      </w:r>
      <w:r w:rsidRPr="00721CB3">
        <w:rPr>
          <w:lang w:eastAsia="id-ID"/>
        </w:rPr>
        <w:fldChar w:fldCharType="end"/>
      </w:r>
      <w:r w:rsidRPr="00721CB3">
        <w:rPr>
          <w:lang w:eastAsia="id-ID"/>
        </w:rPr>
        <w:t xml:space="preserve">. Penyuluhan yang diberikan dapat mempengaruhi pengetahuan dan sikap seseorang dalam bertindak sehingga menjadi pola perilaku yang berubah kearah yang lebih baik. Maka peran remaja puteri sangat penting dalam upaya meningkatkan status kesehatannya di masa yang akan datang. Hal ini dapat menentukan sikap untuk memutuskan hal yang baik untuk menjadi calon ibu dalam mencegah anemia dan komplikasinya dalam persiapan kehamilan dan persalinan. Adanya sikap positif remaja puteri tentang pencegahan anemia dapat timbul karena adanya kesesuaian reaksi atau respon terhadap stimulus yaitu pengetahuan tentang pencegahan anemia </w:t>
      </w:r>
      <w:r w:rsidRPr="00721CB3">
        <w:rPr>
          <w:lang w:eastAsia="id-ID"/>
        </w:rPr>
        <w:fldChar w:fldCharType="begin" w:fldLock="1"/>
      </w:r>
      <w:r w:rsidR="00145F98">
        <w:rPr>
          <w:lang w:eastAsia="id-ID"/>
        </w:rPr>
        <w:instrText>ADDIN CSL_CITATION {"citationItems":[{"id":"ITEM-1","itemData":{"ISSN":"2745-5211","author":[{"dropping-particle":"","family":"Djannah","given":"Roichatul","non-dropping-particle":"","parse-names":false,"suffix":""},{"dropping-particle":"","family":"Wisudawati","given":"Wida","non-dropping-particle":"","parse-names":false,"suffix":""}],"container-title":"Jurnal Ilmu Kesehatan Universitas Salakanagara","id":"ITEM-1","issue":"1","issued":{"date-parts":[["2023"]]},"page":"10-17","title":"Pengaruh Pendidikan Gizi dan Anemia Terhadap Pengetahuan Remaja Tentang Pencegahan Anemia","type":"article-journal","volume":"9"},"uris":["http://www.mendeley.com/documents/?uuid=9033cd21-636e-42dc-bd10-d11497746f0f"]}],"mendeley":{"formattedCitation":"(Djannah &amp; Wisudawati, 2023)","plainTextFormattedCitation":"(Djannah &amp; Wisudawati, 2023)","previouslyFormattedCitation":"(Djannah &amp; Wisudawati, 2023)"},"properties":{"noteIndex":0},"schema":"https://github.com/citation-style-language/schema/raw/master/csl-citation.json"}</w:instrText>
      </w:r>
      <w:r w:rsidRPr="00721CB3">
        <w:rPr>
          <w:lang w:eastAsia="id-ID"/>
        </w:rPr>
        <w:fldChar w:fldCharType="separate"/>
      </w:r>
      <w:r w:rsidRPr="00721CB3">
        <w:rPr>
          <w:noProof/>
          <w:lang w:eastAsia="id-ID"/>
        </w:rPr>
        <w:t>(Djannah &amp; Wisudawati, 2023)</w:t>
      </w:r>
      <w:r w:rsidRPr="00721CB3">
        <w:rPr>
          <w:lang w:eastAsia="id-ID"/>
        </w:rPr>
        <w:fldChar w:fldCharType="end"/>
      </w:r>
      <w:r w:rsidRPr="00721CB3">
        <w:rPr>
          <w:lang w:eastAsia="id-ID"/>
        </w:rPr>
        <w:t>.</w:t>
      </w:r>
    </w:p>
    <w:p w14:paraId="26B2B3C0" w14:textId="6D5F6542" w:rsidR="00721CB3" w:rsidRPr="00721CB3" w:rsidRDefault="00721CB3" w:rsidP="00721CB3">
      <w:pPr>
        <w:pStyle w:val="ListParagraph"/>
        <w:ind w:firstLine="632"/>
        <w:jc w:val="both"/>
      </w:pPr>
      <w:r w:rsidRPr="00721CB3">
        <w:t xml:space="preserve">Sikap positif yang dimiliki remaja puteri tidak terlepas dari pengetahuan atau informasi yang telah diperoleh dan pengetahuan yang dimilikinya sangat baik atau dalam kategori tinggi sehingga hal tersebut membentuk sikap positif atau penilaian remaja puteri yang baik terhadap pencegahan anemia </w:t>
      </w:r>
      <w:r w:rsidRPr="00721CB3">
        <w:fldChar w:fldCharType="begin" w:fldLock="1"/>
      </w:r>
      <w:r w:rsidRPr="00721CB3">
        <w:instrText>ADDIN CSL_CITATION {"citationItems":[{"id":"ITEM-1","itemData":{"author":[{"dropping-particle":"","family":"Karyawati","given":"Teti Run","non-dropping-particle":"","parse-names":false,"suffix":""}],"id":"ITEM-1","issued":{"date-parts":[["2024"]]},"publisher":"SEKOLAH TINGGI ILMU KESEHATAN (STIKES) HAMZAR","title":"HUBUNGAN PENGETAHUAN DAN SIKAP TENTANG ANEMIA DENGAN PERILAKU PENCEGAHAN ANEMIA PADA REMAJA PUTERI DI SMA 1 GANGGA","type":"article"},"uris":["http://www.mendeley.com/documents/?uuid=a4b0bbc7-fe4e-46fe-83e8-ec00610aa525"]}],"mendeley":{"formattedCitation":"(Karyawati, 2024)","plainTextFormattedCitation":"(Karyawati, 2024)","previouslyFormattedCitation":"(Karyawati, 2024)"},"properties":{"noteIndex":0},"schema":"https://github.com/citation-style-language/schema/raw/master/csl-citation.json"}</w:instrText>
      </w:r>
      <w:r w:rsidRPr="00721CB3">
        <w:fldChar w:fldCharType="separate"/>
      </w:r>
      <w:r w:rsidRPr="00721CB3">
        <w:rPr>
          <w:noProof/>
        </w:rPr>
        <w:t>(Karyawati, 2024)</w:t>
      </w:r>
      <w:r w:rsidRPr="00721CB3">
        <w:fldChar w:fldCharType="end"/>
      </w:r>
      <w:r w:rsidRPr="00721CB3">
        <w:t xml:space="preserve">. Sikap remaja puteri terhadap pencegahan anemia adalah persepsi </w:t>
      </w:r>
      <w:r w:rsidRPr="00721CB3">
        <w:lastRenderedPageBreak/>
        <w:t xml:space="preserve">mengenai dampak anemia jangka pendek maupun panjang yang menghasilkan sikap positif atau negatif dari remaja puteri berdasarkan informasi yang diterima </w:t>
      </w:r>
      <w:r w:rsidRPr="00721CB3">
        <w:fldChar w:fldCharType="begin" w:fldLock="1"/>
      </w:r>
      <w:r w:rsidRPr="00721CB3">
        <w:instrText>ADDIN CSL_CITATION {"citationItems":[{"id":"ITEM-1","itemData":{"ISSN":"2655-9218","author":[{"dropping-particle":"","family":"Julaecha","given":"Julaecha","non-dropping-particle":"","parse-names":false,"suffix":""}],"container-title":"Jurnal Abdimas Kesehatan (JAK)","id":"ITEM-1","issue":"2","issued":{"date-parts":[["2020"]]},"page":"109-112","title":"Upaya pencegahan anemia pada remaja putri","type":"article-journal","volume":"2"},"uris":["http://www.mendeley.com/documents/?uuid=193fb6bf-9210-400b-bddb-7a3069879718"]}],"mendeley":{"formattedCitation":"(Julaecha, 2020)","plainTextFormattedCitation":"(Julaecha, 2020)","previouslyFormattedCitation":"(Julaecha, 2020)"},"properties":{"noteIndex":0},"schema":"https://github.com/citation-style-language/schema/raw/master/csl-citation.json"}</w:instrText>
      </w:r>
      <w:r w:rsidRPr="00721CB3">
        <w:fldChar w:fldCharType="separate"/>
      </w:r>
      <w:r w:rsidRPr="00721CB3">
        <w:rPr>
          <w:noProof/>
        </w:rPr>
        <w:t>(Julaecha, 2020)</w:t>
      </w:r>
      <w:r w:rsidRPr="00721CB3">
        <w:fldChar w:fldCharType="end"/>
      </w:r>
      <w:r w:rsidRPr="00721CB3">
        <w:t xml:space="preserve">. Sikap terbentuk dari beberapa komponen diantaranya adalah kemampuan kognitif. Kognitif merupakan komponen sikap yang berfungsi untuk membuat penilaian kepada suatu objek yang berasal dari luar yang akan menghasilkan sebuah nilai yang akan dikombinasi dari informasi yang telah diterima dan afektif merupakan perasaan yang diberikan kepada suatu hal yang diterima berdasarkan hasil penilaiannya </w:t>
      </w:r>
      <w:r w:rsidRPr="00721CB3">
        <w:fldChar w:fldCharType="begin" w:fldLock="1"/>
      </w:r>
      <w:r w:rsidR="00145F98">
        <w:instrText>ADDIN CSL_CITATION {"citationItems":[{"id":"ITEM-1","itemData":{"author":[{"dropping-particle":"","family":"Musniati","given":"Nia","non-dropping-particle":"","parse-names":false,"suffix":""},{"dropping-particle":"","family":"Fitria","given":"Fitria","non-dropping-particle":"","parse-names":false,"suffix":""}],"container-title":"Jurnal Kesehatan","id":"ITEM-1","issue":"2","issued":{"date-parts":[["2021"]]},"page":"224-232","title":"Edukasi Pencegahan Anemia pada Remaja Putri","type":"article-journal","volume":"5"},"uris":["http://www.mendeley.com/documents/?uuid=823d7ed7-8900-4170-a792-e1f81c4e6da0"]}],"mendeley":{"formattedCitation":"(Musniati &amp; Fitria, 2021)","plainTextFormattedCitation":"(Musniati &amp; Fitria, 2021)","previouslyFormattedCitation":"(Musniati &amp; Fitria, 2021)"},"properties":{"noteIndex":0},"schema":"https://github.com/citation-style-language/schema/raw/master/csl-citation.json"}</w:instrText>
      </w:r>
      <w:r w:rsidRPr="00721CB3">
        <w:fldChar w:fldCharType="separate"/>
      </w:r>
      <w:r w:rsidRPr="00721CB3">
        <w:rPr>
          <w:noProof/>
        </w:rPr>
        <w:t>(Musniati &amp; Fitria, 2021)</w:t>
      </w:r>
      <w:r w:rsidRPr="00721CB3">
        <w:fldChar w:fldCharType="end"/>
      </w:r>
      <w:r w:rsidRPr="00721CB3">
        <w:t>.</w:t>
      </w:r>
    </w:p>
    <w:p w14:paraId="30A68F83" w14:textId="46C540A8" w:rsidR="00721CB3" w:rsidRDefault="00721CB3" w:rsidP="00721CB3">
      <w:pPr>
        <w:pStyle w:val="Heading1"/>
        <w:suppressAutoHyphens/>
        <w:ind w:firstLine="567"/>
        <w:jc w:val="both"/>
        <w:rPr>
          <w:b w:val="0"/>
          <w:iCs/>
        </w:rPr>
      </w:pPr>
      <w:r w:rsidRPr="00721CB3">
        <w:rPr>
          <w:b w:val="0"/>
          <w:iCs/>
        </w:rPr>
        <w:t>Menurut asumsi peneliti, kurangnya informasi remaja puteri tentang pencegahan anemia menyebabkan responden memiliki sikap negatif. Sikap mempengaruhi perilaku kesehatan remaja puteri seperti pemenuhan gizi dan siklus menstruasi. Asupan gizi yang kurang akan memberikan dampak pada kejadian anemia. Perlu dilakukan kegiatan rutin dalam memberikan edukasi gizi kepada remaja puteri untuk mengurangi sikap negatif dan menumbuhkan kesadaran akan kesehatan diri.</w:t>
      </w:r>
    </w:p>
    <w:p w14:paraId="184E3DA8" w14:textId="0CA01A98" w:rsidR="00721CB3" w:rsidRDefault="00721CB3" w:rsidP="00721CB3">
      <w:pPr>
        <w:pStyle w:val="Heading1"/>
        <w:suppressAutoHyphens/>
        <w:jc w:val="both"/>
        <w:rPr>
          <w:b w:val="0"/>
          <w:iCs/>
        </w:rPr>
      </w:pPr>
    </w:p>
    <w:p w14:paraId="7C3636B2" w14:textId="77777777" w:rsidR="00AA6C36" w:rsidRDefault="00AA6C36" w:rsidP="00721CB3">
      <w:pPr>
        <w:pStyle w:val="Heading1"/>
        <w:suppressAutoHyphens/>
        <w:ind w:left="0"/>
        <w:jc w:val="both"/>
        <w:rPr>
          <w:bCs w:val="0"/>
          <w:iCs/>
          <w:lang w:val="en-US"/>
        </w:rPr>
      </w:pPr>
    </w:p>
    <w:p w14:paraId="336E2E4F" w14:textId="77777777" w:rsidR="00AA6C36" w:rsidRDefault="00AA6C36" w:rsidP="00721CB3">
      <w:pPr>
        <w:pStyle w:val="Heading1"/>
        <w:suppressAutoHyphens/>
        <w:ind w:left="0"/>
        <w:jc w:val="both"/>
        <w:rPr>
          <w:bCs w:val="0"/>
          <w:iCs/>
          <w:lang w:val="en-US"/>
        </w:rPr>
      </w:pPr>
    </w:p>
    <w:p w14:paraId="7528F469" w14:textId="46DD50B6" w:rsidR="00721CB3" w:rsidRPr="00721CB3" w:rsidRDefault="00721CB3" w:rsidP="00721CB3">
      <w:pPr>
        <w:pStyle w:val="Heading1"/>
        <w:suppressAutoHyphens/>
        <w:ind w:left="0"/>
        <w:jc w:val="both"/>
        <w:rPr>
          <w:bCs w:val="0"/>
          <w:i/>
          <w:iCs/>
          <w:lang w:val="en-US"/>
        </w:rPr>
      </w:pPr>
      <w:r w:rsidRPr="00721CB3">
        <w:rPr>
          <w:bCs w:val="0"/>
          <w:iCs/>
          <w:lang w:val="en-US"/>
        </w:rPr>
        <w:t>KESIMPULAN</w:t>
      </w:r>
    </w:p>
    <w:p w14:paraId="5EB01334" w14:textId="0B6B1AF6" w:rsidR="00721CB3" w:rsidRDefault="00721CB3" w:rsidP="00AA6C36">
      <w:pPr>
        <w:spacing w:before="65"/>
        <w:ind w:left="112" w:firstLine="455"/>
        <w:jc w:val="both"/>
      </w:pPr>
      <w:r w:rsidRPr="00721CB3">
        <w:t>Sebagian besar responden memiliki pengetahuan yang cukup dengan pencegahan anemia yang baik. Terdapat hubungan pengetahuan dan sikap remaja putri terhadap pencegahan anemia di SMPN19 Muaro Jambi.</w:t>
      </w:r>
    </w:p>
    <w:p w14:paraId="26F60578" w14:textId="77777777" w:rsidR="00721CB3" w:rsidRDefault="00721CB3" w:rsidP="00721CB3">
      <w:pPr>
        <w:spacing w:before="65"/>
        <w:ind w:left="112" w:firstLine="455"/>
      </w:pPr>
    </w:p>
    <w:p w14:paraId="41AD3B44" w14:textId="473C859D" w:rsidR="00721CB3" w:rsidRDefault="00721CB3" w:rsidP="00721CB3">
      <w:pPr>
        <w:spacing w:before="65"/>
        <w:rPr>
          <w:b/>
          <w:bCs/>
          <w:lang w:val="en-US"/>
        </w:rPr>
      </w:pPr>
      <w:r w:rsidRPr="00721CB3">
        <w:rPr>
          <w:b/>
          <w:bCs/>
          <w:lang w:val="en-US"/>
        </w:rPr>
        <w:t>DAFTAR PUSTAKA</w:t>
      </w:r>
    </w:p>
    <w:p w14:paraId="49368EC7" w14:textId="377C08E2" w:rsidR="00145F98" w:rsidRPr="00145F98" w:rsidRDefault="00721CB3" w:rsidP="00145F98">
      <w:pPr>
        <w:adjustRightInd w:val="0"/>
        <w:spacing w:before="60"/>
        <w:ind w:left="480" w:hanging="480"/>
        <w:jc w:val="both"/>
        <w:rPr>
          <w:noProof/>
          <w:szCs w:val="24"/>
        </w:rPr>
      </w:pPr>
      <w:r>
        <w:rPr>
          <w:b/>
          <w:bCs/>
          <w:lang w:val="en-US"/>
        </w:rPr>
        <w:fldChar w:fldCharType="begin" w:fldLock="1"/>
      </w:r>
      <w:r>
        <w:rPr>
          <w:b/>
          <w:bCs/>
          <w:lang w:val="en-US"/>
        </w:rPr>
        <w:instrText xml:space="preserve">ADDIN Mendeley Bibliography CSL_BIBLIOGRAPHY </w:instrText>
      </w:r>
      <w:r>
        <w:rPr>
          <w:b/>
          <w:bCs/>
          <w:lang w:val="en-US"/>
        </w:rPr>
        <w:fldChar w:fldCharType="separate"/>
      </w:r>
      <w:r w:rsidR="00145F98" w:rsidRPr="00145F98">
        <w:rPr>
          <w:noProof/>
          <w:szCs w:val="24"/>
        </w:rPr>
        <w:t xml:space="preserve">Adiyani, K., Heriyani, F., &amp; Rosida, L. (2020). Hubungan Status Gizi Dengan Kejadian Anemia Pada Remaja Putri Di SMA PGRI 4 Banjarmasin. </w:t>
      </w:r>
      <w:r w:rsidR="00145F98" w:rsidRPr="00145F98">
        <w:rPr>
          <w:i/>
          <w:iCs/>
          <w:noProof/>
          <w:szCs w:val="24"/>
        </w:rPr>
        <w:t>Homeostasis</w:t>
      </w:r>
      <w:r w:rsidR="00145F98" w:rsidRPr="00145F98">
        <w:rPr>
          <w:noProof/>
          <w:szCs w:val="24"/>
        </w:rPr>
        <w:t xml:space="preserve">, </w:t>
      </w:r>
      <w:r w:rsidR="00145F98" w:rsidRPr="00145F98">
        <w:rPr>
          <w:i/>
          <w:iCs/>
          <w:noProof/>
          <w:szCs w:val="24"/>
        </w:rPr>
        <w:t>1</w:t>
      </w:r>
      <w:r w:rsidR="00145F98" w:rsidRPr="00145F98">
        <w:rPr>
          <w:noProof/>
          <w:szCs w:val="24"/>
        </w:rPr>
        <w:t>, 1–7. Http://Ppjp.Ulm.Ac.Id/Journals/Index.Php/Hms/Article/View/459</w:t>
      </w:r>
    </w:p>
    <w:p w14:paraId="4D10334C" w14:textId="07150ACB" w:rsidR="00145F98" w:rsidRPr="00145F98" w:rsidRDefault="00145F98" w:rsidP="00145F98">
      <w:pPr>
        <w:adjustRightInd w:val="0"/>
        <w:spacing w:before="60"/>
        <w:ind w:left="480" w:hanging="480"/>
        <w:jc w:val="both"/>
        <w:rPr>
          <w:noProof/>
          <w:szCs w:val="24"/>
        </w:rPr>
      </w:pPr>
      <w:r w:rsidRPr="00145F98">
        <w:rPr>
          <w:noProof/>
          <w:szCs w:val="24"/>
        </w:rPr>
        <w:t xml:space="preserve">Adyani, K., Apriliana, S. D., &amp; Susilowati, E. (2024). Pengaruh Media Edukasi Terhadap Pengetahuan Remaja Putri Tentang Anemia: Literature Review. </w:t>
      </w:r>
      <w:r w:rsidRPr="00145F98">
        <w:rPr>
          <w:i/>
          <w:iCs/>
          <w:noProof/>
          <w:szCs w:val="24"/>
        </w:rPr>
        <w:t>Faletehan Health Journal</w:t>
      </w:r>
      <w:r w:rsidRPr="00145F98">
        <w:rPr>
          <w:noProof/>
          <w:szCs w:val="24"/>
        </w:rPr>
        <w:t xml:space="preserve">, </w:t>
      </w:r>
      <w:r w:rsidRPr="00145F98">
        <w:rPr>
          <w:i/>
          <w:iCs/>
          <w:noProof/>
          <w:szCs w:val="24"/>
        </w:rPr>
        <w:t>11</w:t>
      </w:r>
      <w:r w:rsidRPr="00145F98">
        <w:rPr>
          <w:noProof/>
          <w:szCs w:val="24"/>
        </w:rPr>
        <w:t>(02), 126–134.</w:t>
      </w:r>
    </w:p>
    <w:p w14:paraId="018CBDA2" w14:textId="4F3EB737" w:rsidR="00145F98" w:rsidRPr="00145F98" w:rsidRDefault="00145F98" w:rsidP="00145F98">
      <w:pPr>
        <w:adjustRightInd w:val="0"/>
        <w:spacing w:before="60"/>
        <w:ind w:left="480" w:hanging="480"/>
        <w:jc w:val="both"/>
        <w:rPr>
          <w:noProof/>
          <w:szCs w:val="24"/>
        </w:rPr>
      </w:pPr>
      <w:r w:rsidRPr="00145F98">
        <w:rPr>
          <w:noProof/>
          <w:szCs w:val="24"/>
        </w:rPr>
        <w:t xml:space="preserve">Az-Zahra, K., &amp; Kurniasari, R. (2022). Efektivitas Pemberian Media Edukasi Gizi Yang Menarik Dan Inovatif Terhadap Pencegahan Anemia Kepada Remaja Putri: Literature Review. </w:t>
      </w:r>
      <w:r w:rsidRPr="00145F98">
        <w:rPr>
          <w:i/>
          <w:iCs/>
          <w:noProof/>
          <w:szCs w:val="24"/>
        </w:rPr>
        <w:t>Media Publikasi Promosi Kesehatan Indonesia (MPPKI)</w:t>
      </w:r>
      <w:r w:rsidRPr="00145F98">
        <w:rPr>
          <w:noProof/>
          <w:szCs w:val="24"/>
        </w:rPr>
        <w:t xml:space="preserve">, </w:t>
      </w:r>
      <w:r w:rsidRPr="00145F98">
        <w:rPr>
          <w:i/>
          <w:iCs/>
          <w:noProof/>
          <w:szCs w:val="24"/>
        </w:rPr>
        <w:t>5</w:t>
      </w:r>
      <w:r w:rsidRPr="00145F98">
        <w:rPr>
          <w:noProof/>
          <w:szCs w:val="24"/>
        </w:rPr>
        <w:t>(6), 618–627.</w:t>
      </w:r>
    </w:p>
    <w:p w14:paraId="0F53AD39" w14:textId="141B4F6A" w:rsidR="00145F98" w:rsidRPr="00145F98" w:rsidRDefault="00145F98" w:rsidP="00145F98">
      <w:pPr>
        <w:adjustRightInd w:val="0"/>
        <w:spacing w:before="60"/>
        <w:ind w:left="480" w:hanging="480"/>
        <w:jc w:val="both"/>
        <w:rPr>
          <w:noProof/>
          <w:szCs w:val="24"/>
        </w:rPr>
      </w:pPr>
      <w:r w:rsidRPr="00145F98">
        <w:rPr>
          <w:noProof/>
          <w:szCs w:val="24"/>
        </w:rPr>
        <w:t xml:space="preserve">Azizah, A. N., Maretta, M., Andhikatias, Y., &amp; Putriningrum, R. (2023). Efektivitas Edukasi Anemia Dan Konsumsi Kelakai Terhadap Pengetahuan Wanita Usia Subur (WUS) Dalam Persiapan Kehamilan. </w:t>
      </w:r>
      <w:r w:rsidRPr="00145F98">
        <w:rPr>
          <w:i/>
          <w:iCs/>
          <w:noProof/>
          <w:szCs w:val="24"/>
        </w:rPr>
        <w:t>Jurnal Kusuma Husada</w:t>
      </w:r>
      <w:r w:rsidRPr="00145F98">
        <w:rPr>
          <w:noProof/>
          <w:szCs w:val="24"/>
        </w:rPr>
        <w:t>.</w:t>
      </w:r>
    </w:p>
    <w:p w14:paraId="18290E1F" w14:textId="4A592E8E" w:rsidR="00145F98" w:rsidRPr="00145F98" w:rsidRDefault="00145F98" w:rsidP="00145F98">
      <w:pPr>
        <w:adjustRightInd w:val="0"/>
        <w:spacing w:before="60"/>
        <w:ind w:left="480" w:hanging="480"/>
        <w:jc w:val="both"/>
        <w:rPr>
          <w:noProof/>
          <w:szCs w:val="24"/>
        </w:rPr>
      </w:pPr>
      <w:r w:rsidRPr="00145F98">
        <w:rPr>
          <w:noProof/>
          <w:szCs w:val="24"/>
        </w:rPr>
        <w:t xml:space="preserve">Chrisnawati, C., Maratning, A., Trihandini, B., Ramdhani, N. P., &amp; Hasan, Y. B. (2024). Promosi Kesehatan Tentang Pencegahan Anemia Pada Remaja Putri Di SMP Anggrek Banjarmasin. </w:t>
      </w:r>
      <w:r w:rsidRPr="00145F98">
        <w:rPr>
          <w:i/>
          <w:iCs/>
          <w:noProof/>
          <w:szCs w:val="24"/>
        </w:rPr>
        <w:t>JURNAL SUAKA INSAN MENGABDI (JSIM)</w:t>
      </w:r>
      <w:r w:rsidRPr="00145F98">
        <w:rPr>
          <w:noProof/>
          <w:szCs w:val="24"/>
        </w:rPr>
        <w:t xml:space="preserve">, </w:t>
      </w:r>
      <w:r w:rsidRPr="00145F98">
        <w:rPr>
          <w:i/>
          <w:iCs/>
          <w:noProof/>
          <w:szCs w:val="24"/>
        </w:rPr>
        <w:t>6</w:t>
      </w:r>
      <w:r w:rsidRPr="00145F98">
        <w:rPr>
          <w:noProof/>
          <w:szCs w:val="24"/>
        </w:rPr>
        <w:t>(2), 1–7.</w:t>
      </w:r>
    </w:p>
    <w:p w14:paraId="7A0F72E5" w14:textId="210D505D" w:rsidR="00145F98" w:rsidRPr="00145F98" w:rsidRDefault="00145F98" w:rsidP="00145F98">
      <w:pPr>
        <w:adjustRightInd w:val="0"/>
        <w:spacing w:before="60"/>
        <w:ind w:left="480" w:hanging="480"/>
        <w:jc w:val="both"/>
        <w:rPr>
          <w:noProof/>
          <w:szCs w:val="24"/>
        </w:rPr>
      </w:pPr>
      <w:r w:rsidRPr="00145F98">
        <w:rPr>
          <w:noProof/>
          <w:szCs w:val="24"/>
        </w:rPr>
        <w:t xml:space="preserve">Djannah, R., &amp; Wisudawati, W. (2023). Pengaruh Pendidikan Gizi Dan Anemia Terhadap Pengetahuan Remaja Tentang Pencegahan Anemia. </w:t>
      </w:r>
      <w:r w:rsidRPr="00145F98">
        <w:rPr>
          <w:i/>
          <w:iCs/>
          <w:noProof/>
          <w:szCs w:val="24"/>
        </w:rPr>
        <w:t>Jurnal Ilmu Kesehatan Universitas Salakanagara</w:t>
      </w:r>
      <w:r w:rsidRPr="00145F98">
        <w:rPr>
          <w:noProof/>
          <w:szCs w:val="24"/>
        </w:rPr>
        <w:t xml:space="preserve">, </w:t>
      </w:r>
      <w:r w:rsidRPr="00145F98">
        <w:rPr>
          <w:i/>
          <w:iCs/>
          <w:noProof/>
          <w:szCs w:val="24"/>
        </w:rPr>
        <w:t>9</w:t>
      </w:r>
      <w:r w:rsidRPr="00145F98">
        <w:rPr>
          <w:noProof/>
          <w:szCs w:val="24"/>
        </w:rPr>
        <w:t>(1), 10–17.</w:t>
      </w:r>
    </w:p>
    <w:p w14:paraId="3DB7A328" w14:textId="110E8F0F" w:rsidR="00145F98" w:rsidRPr="00145F98" w:rsidRDefault="00145F98" w:rsidP="00145F98">
      <w:pPr>
        <w:adjustRightInd w:val="0"/>
        <w:spacing w:before="60"/>
        <w:ind w:left="480" w:hanging="480"/>
        <w:jc w:val="both"/>
        <w:rPr>
          <w:noProof/>
          <w:szCs w:val="24"/>
        </w:rPr>
      </w:pPr>
      <w:r w:rsidRPr="00145F98">
        <w:rPr>
          <w:noProof/>
          <w:szCs w:val="24"/>
        </w:rPr>
        <w:t xml:space="preserve">Fatimatasari, F., Indrianasari, S., Choirunnisa, L. F., Putri, A. F., &amp; Aldila, I. (2024). Sosialisasi Pencegahan Anemia Pada Remaja Putri Di Desa Banyurojo Sebagai Upaya Pencegahan Stunting Sejak Dini Di Kecamatan Mertoyudan Kabupaten Magelang. </w:t>
      </w:r>
      <w:r w:rsidRPr="00145F98">
        <w:rPr>
          <w:i/>
          <w:iCs/>
          <w:noProof/>
          <w:szCs w:val="24"/>
        </w:rPr>
        <w:t>Jurnal Pengabdian Masyarakat Jajama (JPMJ)</w:t>
      </w:r>
      <w:r w:rsidRPr="00145F98">
        <w:rPr>
          <w:noProof/>
          <w:szCs w:val="24"/>
        </w:rPr>
        <w:t xml:space="preserve">, </w:t>
      </w:r>
      <w:r w:rsidRPr="00145F98">
        <w:rPr>
          <w:i/>
          <w:iCs/>
          <w:noProof/>
          <w:szCs w:val="24"/>
        </w:rPr>
        <w:t>3</w:t>
      </w:r>
      <w:r w:rsidRPr="00145F98">
        <w:rPr>
          <w:noProof/>
          <w:szCs w:val="24"/>
        </w:rPr>
        <w:t>(1), 34–41.</w:t>
      </w:r>
    </w:p>
    <w:p w14:paraId="48FAFD3D" w14:textId="01F03842" w:rsidR="00145F98" w:rsidRPr="00145F98" w:rsidRDefault="00145F98" w:rsidP="00145F98">
      <w:pPr>
        <w:adjustRightInd w:val="0"/>
        <w:spacing w:before="60"/>
        <w:ind w:left="480" w:hanging="480"/>
        <w:jc w:val="both"/>
        <w:rPr>
          <w:noProof/>
          <w:szCs w:val="24"/>
        </w:rPr>
      </w:pPr>
      <w:r w:rsidRPr="00145F98">
        <w:rPr>
          <w:noProof/>
          <w:szCs w:val="24"/>
        </w:rPr>
        <w:t xml:space="preserve">Izdihar, M. S., Noor, M. S., Istiana, I., Juhairina, J., &amp; Skripsiana, N. S. (2022). Hubungan Pengetahuan Dan Sikap Tentang Anemia Dengan Perilaku Pencegahan Anemia Pada Remaja Puteri Di SMAIT Ukhuwah Banjarmasin. </w:t>
      </w:r>
      <w:r w:rsidRPr="00145F98">
        <w:rPr>
          <w:i/>
          <w:iCs/>
          <w:noProof/>
          <w:szCs w:val="24"/>
        </w:rPr>
        <w:t>Homeostasis</w:t>
      </w:r>
      <w:r w:rsidRPr="00145F98">
        <w:rPr>
          <w:noProof/>
          <w:szCs w:val="24"/>
        </w:rPr>
        <w:t xml:space="preserve">, </w:t>
      </w:r>
      <w:r w:rsidRPr="00145F98">
        <w:rPr>
          <w:i/>
          <w:iCs/>
          <w:noProof/>
          <w:szCs w:val="24"/>
        </w:rPr>
        <w:t>5</w:t>
      </w:r>
      <w:r w:rsidRPr="00145F98">
        <w:rPr>
          <w:noProof/>
          <w:szCs w:val="24"/>
        </w:rPr>
        <w:t>(2), 333–342.</w:t>
      </w:r>
    </w:p>
    <w:p w14:paraId="5FD1E07B" w14:textId="6E634A38" w:rsidR="00145F98" w:rsidRPr="00145F98" w:rsidRDefault="00145F98" w:rsidP="00145F98">
      <w:pPr>
        <w:adjustRightInd w:val="0"/>
        <w:spacing w:before="60"/>
        <w:ind w:left="480" w:hanging="480"/>
        <w:jc w:val="both"/>
        <w:rPr>
          <w:noProof/>
          <w:szCs w:val="24"/>
        </w:rPr>
      </w:pPr>
      <w:r w:rsidRPr="00145F98">
        <w:rPr>
          <w:noProof/>
          <w:szCs w:val="24"/>
        </w:rPr>
        <w:t xml:space="preserve">Julaecha, J. (2020). Upaya Pencegahan Anemia Pada Remaja Putri. </w:t>
      </w:r>
      <w:r w:rsidRPr="00145F98">
        <w:rPr>
          <w:i/>
          <w:iCs/>
          <w:noProof/>
          <w:szCs w:val="24"/>
        </w:rPr>
        <w:t>Jurnal Abdimas Kesehatan (JAK)</w:t>
      </w:r>
      <w:r w:rsidRPr="00145F98">
        <w:rPr>
          <w:noProof/>
          <w:szCs w:val="24"/>
        </w:rPr>
        <w:t xml:space="preserve">, </w:t>
      </w:r>
      <w:r w:rsidRPr="00145F98">
        <w:rPr>
          <w:i/>
          <w:iCs/>
          <w:noProof/>
          <w:szCs w:val="24"/>
        </w:rPr>
        <w:t>2</w:t>
      </w:r>
      <w:r w:rsidRPr="00145F98">
        <w:rPr>
          <w:noProof/>
          <w:szCs w:val="24"/>
        </w:rPr>
        <w:t>(2), 109–112.</w:t>
      </w:r>
    </w:p>
    <w:p w14:paraId="119DA7ED" w14:textId="588E550C" w:rsidR="00145F98" w:rsidRPr="00145F98" w:rsidRDefault="00145F98" w:rsidP="00145F98">
      <w:pPr>
        <w:adjustRightInd w:val="0"/>
        <w:spacing w:before="60"/>
        <w:ind w:left="480" w:hanging="480"/>
        <w:jc w:val="both"/>
        <w:rPr>
          <w:noProof/>
          <w:szCs w:val="24"/>
        </w:rPr>
      </w:pPr>
      <w:r w:rsidRPr="00145F98">
        <w:rPr>
          <w:noProof/>
          <w:szCs w:val="24"/>
        </w:rPr>
        <w:t xml:space="preserve">Karyawati, T. R. (2024). </w:t>
      </w:r>
      <w:r w:rsidRPr="00145F98">
        <w:rPr>
          <w:i/>
          <w:iCs/>
          <w:noProof/>
          <w:szCs w:val="24"/>
        </w:rPr>
        <w:t>Hubungan Pengetahuan Dan Sikap Tentang Anemia Dengan Perilaku Pencegahan Anemia Pada Remaja Puteri Di Sma 1 Gangga</w:t>
      </w:r>
      <w:r w:rsidRPr="00145F98">
        <w:rPr>
          <w:noProof/>
          <w:szCs w:val="24"/>
        </w:rPr>
        <w:t>. Sekolah Tinggi Ilmu Kesehatan (Stikes) Hamzar.</w:t>
      </w:r>
    </w:p>
    <w:p w14:paraId="683FEF62" w14:textId="0928C7FC" w:rsidR="00145F98" w:rsidRPr="00145F98" w:rsidRDefault="00145F98" w:rsidP="00145F98">
      <w:pPr>
        <w:adjustRightInd w:val="0"/>
        <w:spacing w:before="60"/>
        <w:ind w:left="480" w:hanging="480"/>
        <w:jc w:val="both"/>
        <w:rPr>
          <w:noProof/>
          <w:szCs w:val="24"/>
        </w:rPr>
      </w:pPr>
      <w:r w:rsidRPr="00145F98">
        <w:rPr>
          <w:noProof/>
          <w:szCs w:val="24"/>
        </w:rPr>
        <w:t xml:space="preserve">Kasumawati, F., Holidah, H., &amp; Jasman, N. A. (2020). Hubungan Pengetahuan Dan Sikap Remaja Putri Serta Paparan Media Informasi Terhadap Perilaku Pencegahan Anemia Di SMA Muhammadiyah 04 Kota Depok. </w:t>
      </w:r>
      <w:r w:rsidRPr="00145F98">
        <w:rPr>
          <w:i/>
          <w:iCs/>
          <w:noProof/>
          <w:szCs w:val="24"/>
        </w:rPr>
        <w:t>Edu Dharma Journal: Jurnal Penelitian Dan Pengabdian Masyarakat</w:t>
      </w:r>
      <w:r w:rsidRPr="00145F98">
        <w:rPr>
          <w:noProof/>
          <w:szCs w:val="24"/>
        </w:rPr>
        <w:t xml:space="preserve">, </w:t>
      </w:r>
      <w:r w:rsidRPr="00145F98">
        <w:rPr>
          <w:i/>
          <w:iCs/>
          <w:noProof/>
          <w:szCs w:val="24"/>
        </w:rPr>
        <w:t>4</w:t>
      </w:r>
      <w:r w:rsidRPr="00145F98">
        <w:rPr>
          <w:noProof/>
          <w:szCs w:val="24"/>
        </w:rPr>
        <w:t>(1), 1–9.</w:t>
      </w:r>
    </w:p>
    <w:p w14:paraId="77CF7CF5" w14:textId="1256357E" w:rsidR="00145F98" w:rsidRPr="00145F98" w:rsidRDefault="00145F98" w:rsidP="00145F98">
      <w:pPr>
        <w:adjustRightInd w:val="0"/>
        <w:spacing w:before="60"/>
        <w:ind w:left="480" w:hanging="480"/>
        <w:jc w:val="both"/>
        <w:rPr>
          <w:noProof/>
          <w:szCs w:val="24"/>
        </w:rPr>
      </w:pPr>
      <w:r w:rsidRPr="00145F98">
        <w:rPr>
          <w:noProof/>
          <w:szCs w:val="24"/>
        </w:rPr>
        <w:t xml:space="preserve">Kementerian Kesehatan RI. (2018). </w:t>
      </w:r>
      <w:r w:rsidRPr="00145F98">
        <w:rPr>
          <w:i/>
          <w:iCs/>
          <w:noProof/>
          <w:szCs w:val="24"/>
        </w:rPr>
        <w:t>Pedoman Pencegahan Dan Penanggulangan Anemia Pada Remaja Puteri Dan Wanita Usia Subur (WUS)</w:t>
      </w:r>
      <w:r w:rsidRPr="00145F98">
        <w:rPr>
          <w:noProof/>
          <w:szCs w:val="24"/>
        </w:rPr>
        <w:t>.</w:t>
      </w:r>
    </w:p>
    <w:p w14:paraId="6DF9B498" w14:textId="577DE70C" w:rsidR="00145F98" w:rsidRPr="00145F98" w:rsidRDefault="00145F98" w:rsidP="00145F98">
      <w:pPr>
        <w:adjustRightInd w:val="0"/>
        <w:spacing w:before="60"/>
        <w:ind w:left="480" w:hanging="480"/>
        <w:jc w:val="both"/>
        <w:rPr>
          <w:noProof/>
          <w:szCs w:val="24"/>
        </w:rPr>
      </w:pPr>
      <w:r w:rsidRPr="00145F98">
        <w:rPr>
          <w:noProof/>
          <w:szCs w:val="24"/>
        </w:rPr>
        <w:t xml:space="preserve">Musniati, N., &amp; Fitria, F. (2021). Edukasi Pencegahan Anemia Pada Remaja Putri. </w:t>
      </w:r>
      <w:r w:rsidRPr="00145F98">
        <w:rPr>
          <w:i/>
          <w:iCs/>
          <w:noProof/>
          <w:szCs w:val="24"/>
        </w:rPr>
        <w:lastRenderedPageBreak/>
        <w:t>Jurnal Kesehatan</w:t>
      </w:r>
      <w:r w:rsidRPr="00145F98">
        <w:rPr>
          <w:noProof/>
          <w:szCs w:val="24"/>
        </w:rPr>
        <w:t xml:space="preserve">, </w:t>
      </w:r>
      <w:r w:rsidRPr="00145F98">
        <w:rPr>
          <w:i/>
          <w:iCs/>
          <w:noProof/>
          <w:szCs w:val="24"/>
        </w:rPr>
        <w:t>5</w:t>
      </w:r>
      <w:r w:rsidRPr="00145F98">
        <w:rPr>
          <w:noProof/>
          <w:szCs w:val="24"/>
        </w:rPr>
        <w:t>(2), 224–232.</w:t>
      </w:r>
    </w:p>
    <w:p w14:paraId="1F921326" w14:textId="02B40D86" w:rsidR="00145F98" w:rsidRPr="00145F98" w:rsidRDefault="00145F98" w:rsidP="00145F98">
      <w:pPr>
        <w:adjustRightInd w:val="0"/>
        <w:spacing w:before="60"/>
        <w:ind w:left="480" w:hanging="480"/>
        <w:jc w:val="both"/>
        <w:rPr>
          <w:noProof/>
          <w:szCs w:val="24"/>
        </w:rPr>
      </w:pPr>
      <w:r w:rsidRPr="00145F98">
        <w:rPr>
          <w:noProof/>
          <w:szCs w:val="24"/>
        </w:rPr>
        <w:t xml:space="preserve">Pratama, R. M. K., Antari, G. Y., Handayani, A. M., Permatasari, G., &amp; Yuliastuti, L. P. S. (2022). Pengaruh Penyuluhan Gizi Seimbang Terhadap Pengetahuan Dan Sikap Remaja. </w:t>
      </w:r>
      <w:r w:rsidRPr="00145F98">
        <w:rPr>
          <w:i/>
          <w:iCs/>
          <w:noProof/>
          <w:szCs w:val="24"/>
        </w:rPr>
        <w:t>Jurnal Mutiara Kesehatan Masyarakat</w:t>
      </w:r>
      <w:r w:rsidRPr="00145F98">
        <w:rPr>
          <w:noProof/>
          <w:szCs w:val="24"/>
        </w:rPr>
        <w:t xml:space="preserve">, </w:t>
      </w:r>
      <w:r w:rsidRPr="00145F98">
        <w:rPr>
          <w:i/>
          <w:iCs/>
          <w:noProof/>
          <w:szCs w:val="24"/>
        </w:rPr>
        <w:t>7</w:t>
      </w:r>
      <w:r w:rsidRPr="00145F98">
        <w:rPr>
          <w:noProof/>
          <w:szCs w:val="24"/>
        </w:rPr>
        <w:t>(2), 144–150.</w:t>
      </w:r>
    </w:p>
    <w:p w14:paraId="41F549E2" w14:textId="3F1F3E9E" w:rsidR="00145F98" w:rsidRPr="00145F98" w:rsidRDefault="00145F98" w:rsidP="00145F98">
      <w:pPr>
        <w:adjustRightInd w:val="0"/>
        <w:spacing w:before="60"/>
        <w:ind w:left="480" w:hanging="480"/>
        <w:jc w:val="both"/>
        <w:rPr>
          <w:noProof/>
          <w:szCs w:val="24"/>
        </w:rPr>
      </w:pPr>
      <w:r w:rsidRPr="00145F98">
        <w:rPr>
          <w:noProof/>
          <w:szCs w:val="24"/>
        </w:rPr>
        <w:t xml:space="preserve">Rahayu, A., Surasno, D. M., Andiani, A., Mansyur, S., Soamole, M., Musiana, M., Nurhidayanti, S., Jafar, M. A. H., Toduho, N., &amp; Sumiati, T. (2024). Upaya Peningkatan Pengetahuan Pencegahan Anemia Remaja SMAS Muhammadiyah Kota Ternate. </w:t>
      </w:r>
      <w:r w:rsidRPr="00145F98">
        <w:rPr>
          <w:i/>
          <w:iCs/>
          <w:noProof/>
          <w:szCs w:val="24"/>
        </w:rPr>
        <w:t>Jurnal Medika: Medika</w:t>
      </w:r>
      <w:r w:rsidRPr="00145F98">
        <w:rPr>
          <w:noProof/>
          <w:szCs w:val="24"/>
        </w:rPr>
        <w:t xml:space="preserve">, </w:t>
      </w:r>
      <w:r w:rsidRPr="00145F98">
        <w:rPr>
          <w:i/>
          <w:iCs/>
          <w:noProof/>
          <w:szCs w:val="24"/>
        </w:rPr>
        <w:t>3</w:t>
      </w:r>
      <w:r w:rsidRPr="00145F98">
        <w:rPr>
          <w:noProof/>
          <w:szCs w:val="24"/>
        </w:rPr>
        <w:t>(2), 141–146.</w:t>
      </w:r>
    </w:p>
    <w:p w14:paraId="7A203BF7" w14:textId="5267BA74" w:rsidR="00145F98" w:rsidRPr="00145F98" w:rsidRDefault="00145F98" w:rsidP="00145F98">
      <w:pPr>
        <w:adjustRightInd w:val="0"/>
        <w:spacing w:before="60"/>
        <w:ind w:left="480" w:hanging="480"/>
        <w:jc w:val="both"/>
        <w:rPr>
          <w:noProof/>
          <w:szCs w:val="24"/>
        </w:rPr>
      </w:pPr>
      <w:r w:rsidRPr="00145F98">
        <w:rPr>
          <w:noProof/>
          <w:szCs w:val="24"/>
        </w:rPr>
        <w:t xml:space="preserve">Sari, M. H. N., &amp; Anggraini, D. D. (2020). Analisis Sikap Dan Pengetahuan Terhadap Upaya Pencegahan Anemia Pada Mahasiswa Bidan. </w:t>
      </w:r>
      <w:r w:rsidRPr="00145F98">
        <w:rPr>
          <w:i/>
          <w:iCs/>
          <w:noProof/>
          <w:szCs w:val="24"/>
        </w:rPr>
        <w:t>Jurnal Kebidanan Dan Kesehatan Tradisional</w:t>
      </w:r>
      <w:r w:rsidRPr="00145F98">
        <w:rPr>
          <w:noProof/>
          <w:szCs w:val="24"/>
        </w:rPr>
        <w:t xml:space="preserve">, </w:t>
      </w:r>
      <w:r w:rsidRPr="00145F98">
        <w:rPr>
          <w:i/>
          <w:iCs/>
          <w:noProof/>
          <w:szCs w:val="24"/>
        </w:rPr>
        <w:t>5</w:t>
      </w:r>
      <w:r w:rsidRPr="00145F98">
        <w:rPr>
          <w:noProof/>
          <w:szCs w:val="24"/>
        </w:rPr>
        <w:t>(2), 135–143.</w:t>
      </w:r>
    </w:p>
    <w:p w14:paraId="41A95CE7" w14:textId="0D642E5B" w:rsidR="00145F98" w:rsidRPr="00145F98" w:rsidRDefault="00145F98" w:rsidP="00145F98">
      <w:pPr>
        <w:adjustRightInd w:val="0"/>
        <w:spacing w:before="60"/>
        <w:ind w:left="480" w:hanging="480"/>
        <w:jc w:val="both"/>
        <w:rPr>
          <w:noProof/>
          <w:szCs w:val="24"/>
        </w:rPr>
      </w:pPr>
      <w:r w:rsidRPr="00145F98">
        <w:rPr>
          <w:noProof/>
          <w:szCs w:val="24"/>
        </w:rPr>
        <w:t xml:space="preserve">Siregar, E. D. P., Pasaribu, S. M., &amp; Sipahutar, D. M. (2023). Pengetahuan Yang Baik Dan Sikap Positif Berperan Dalam Mencegah Anemia Pada Remaja Putri. </w:t>
      </w:r>
      <w:r w:rsidRPr="00145F98">
        <w:rPr>
          <w:i/>
          <w:iCs/>
          <w:noProof/>
          <w:szCs w:val="24"/>
        </w:rPr>
        <w:t>Health Information: Jurnal Penelitian</w:t>
      </w:r>
      <w:r w:rsidRPr="00145F98">
        <w:rPr>
          <w:noProof/>
          <w:szCs w:val="24"/>
        </w:rPr>
        <w:t>, E1252–E1252.</w:t>
      </w:r>
    </w:p>
    <w:p w14:paraId="195DF298" w14:textId="661BD5AC" w:rsidR="00145F98" w:rsidRPr="00145F98" w:rsidRDefault="00145F98" w:rsidP="00145F98">
      <w:pPr>
        <w:adjustRightInd w:val="0"/>
        <w:spacing w:before="60"/>
        <w:ind w:left="480" w:hanging="480"/>
        <w:jc w:val="both"/>
        <w:rPr>
          <w:noProof/>
          <w:szCs w:val="24"/>
        </w:rPr>
      </w:pPr>
      <w:r w:rsidRPr="00145F98">
        <w:rPr>
          <w:noProof/>
          <w:szCs w:val="24"/>
        </w:rPr>
        <w:t xml:space="preserve">Syafriani, S. E., Zicof, E., Amos, J., Widdefrita, W., &amp; Sidiq, R. (2024). Perbedaan Pengetahuan Dan Sikap Remaja Putri Dalam Pencegahan Anemia Melalui Media Ludo. </w:t>
      </w:r>
      <w:r w:rsidRPr="00145F98">
        <w:rPr>
          <w:i/>
          <w:iCs/>
          <w:noProof/>
          <w:szCs w:val="24"/>
        </w:rPr>
        <w:t>Jurnal Riset Kesehatan Poltekkes Depkes Bandung</w:t>
      </w:r>
      <w:r w:rsidRPr="00145F98">
        <w:rPr>
          <w:noProof/>
          <w:szCs w:val="24"/>
        </w:rPr>
        <w:t xml:space="preserve">, </w:t>
      </w:r>
      <w:r w:rsidRPr="00145F98">
        <w:rPr>
          <w:i/>
          <w:iCs/>
          <w:noProof/>
          <w:szCs w:val="24"/>
        </w:rPr>
        <w:t>16</w:t>
      </w:r>
      <w:r w:rsidRPr="00145F98">
        <w:rPr>
          <w:noProof/>
          <w:szCs w:val="24"/>
        </w:rPr>
        <w:t>(2), 622–630.</w:t>
      </w:r>
    </w:p>
    <w:p w14:paraId="4430818B" w14:textId="19B90268" w:rsidR="00145F98" w:rsidRPr="00145F98" w:rsidRDefault="00145F98" w:rsidP="00145F98">
      <w:pPr>
        <w:adjustRightInd w:val="0"/>
        <w:spacing w:before="60"/>
        <w:ind w:left="480" w:hanging="480"/>
        <w:jc w:val="both"/>
        <w:rPr>
          <w:noProof/>
          <w:szCs w:val="24"/>
        </w:rPr>
      </w:pPr>
      <w:r w:rsidRPr="00145F98">
        <w:rPr>
          <w:noProof/>
          <w:szCs w:val="24"/>
        </w:rPr>
        <w:t xml:space="preserve">Tunny, R., Umagapi, F., &amp; Astuti, A. D. (2024). Peningkatan Pengetahuan Melalui Edukasi Kesehatan Tentang Pentingnya Pencegahan Anemia Pada Remaja Di Mts. Al-Muhajirin Ambon. </w:t>
      </w:r>
      <w:r w:rsidRPr="00145F98">
        <w:rPr>
          <w:i/>
          <w:iCs/>
          <w:noProof/>
          <w:szCs w:val="24"/>
        </w:rPr>
        <w:t>Karunia: Jurnal Hasil Pengabdian Masyarakat Indonesia</w:t>
      </w:r>
      <w:r w:rsidRPr="00145F98">
        <w:rPr>
          <w:noProof/>
          <w:szCs w:val="24"/>
        </w:rPr>
        <w:t xml:space="preserve">, </w:t>
      </w:r>
      <w:r w:rsidRPr="00145F98">
        <w:rPr>
          <w:i/>
          <w:iCs/>
          <w:noProof/>
          <w:szCs w:val="24"/>
        </w:rPr>
        <w:t>3</w:t>
      </w:r>
      <w:r w:rsidRPr="00145F98">
        <w:rPr>
          <w:noProof/>
          <w:szCs w:val="24"/>
        </w:rPr>
        <w:t>(2), 213–221.</w:t>
      </w:r>
    </w:p>
    <w:p w14:paraId="13E6808C" w14:textId="44C504E9" w:rsidR="00145F98" w:rsidRPr="00145F98" w:rsidRDefault="00145F98" w:rsidP="00145F98">
      <w:pPr>
        <w:adjustRightInd w:val="0"/>
        <w:spacing w:before="60"/>
        <w:ind w:left="480" w:hanging="480"/>
        <w:jc w:val="both"/>
        <w:rPr>
          <w:noProof/>
        </w:rPr>
      </w:pPr>
      <w:r w:rsidRPr="00145F98">
        <w:rPr>
          <w:noProof/>
          <w:szCs w:val="24"/>
        </w:rPr>
        <w:t xml:space="preserve">Widaningsih, I. (2023). Peningkatan Kemampuan Remaja Dalam Pencegahan Anemia Pada Remaja Putri Di Kabupaten Bekasi. </w:t>
      </w:r>
      <w:r w:rsidRPr="00145F98">
        <w:rPr>
          <w:i/>
          <w:iCs/>
          <w:noProof/>
          <w:szCs w:val="24"/>
        </w:rPr>
        <w:t>SELAPARANG: Jurnal Pengabdian Masyarakat Berkemajuan</w:t>
      </w:r>
      <w:r w:rsidRPr="00145F98">
        <w:rPr>
          <w:noProof/>
          <w:szCs w:val="24"/>
        </w:rPr>
        <w:t xml:space="preserve">, </w:t>
      </w:r>
      <w:r w:rsidRPr="00145F98">
        <w:rPr>
          <w:i/>
          <w:iCs/>
          <w:noProof/>
          <w:szCs w:val="24"/>
        </w:rPr>
        <w:t>7</w:t>
      </w:r>
      <w:r w:rsidRPr="00145F98">
        <w:rPr>
          <w:noProof/>
          <w:szCs w:val="24"/>
        </w:rPr>
        <w:t>(1), 723–726.</w:t>
      </w:r>
    </w:p>
    <w:p w14:paraId="77DEBAA3" w14:textId="5B88369A" w:rsidR="00721CB3" w:rsidRPr="00721CB3" w:rsidRDefault="00721CB3" w:rsidP="00145F98">
      <w:pPr>
        <w:spacing w:before="65"/>
        <w:jc w:val="both"/>
        <w:rPr>
          <w:b/>
          <w:bCs/>
          <w:lang w:val="en-US"/>
        </w:rPr>
      </w:pPr>
      <w:r>
        <w:rPr>
          <w:b/>
          <w:bCs/>
          <w:lang w:val="en-US"/>
        </w:rPr>
        <w:fldChar w:fldCharType="end"/>
      </w:r>
    </w:p>
    <w:p w14:paraId="1F8B345F" w14:textId="77777777" w:rsidR="00721CB3" w:rsidRDefault="00721CB3" w:rsidP="00721CB3">
      <w:pPr>
        <w:spacing w:before="65"/>
        <w:ind w:left="112"/>
        <w:jc w:val="both"/>
        <w:rPr>
          <w:b/>
          <w:sz w:val="17"/>
        </w:rPr>
      </w:pPr>
    </w:p>
    <w:p w14:paraId="3CA2A5F3" w14:textId="77777777" w:rsidR="00721CB3" w:rsidRDefault="00721CB3" w:rsidP="00721CB3">
      <w:pPr>
        <w:spacing w:before="65"/>
        <w:rPr>
          <w:b/>
          <w:sz w:val="17"/>
        </w:rPr>
      </w:pPr>
    </w:p>
    <w:sectPr w:rsidR="00721CB3" w:rsidSect="00721CB3">
      <w:pgSz w:w="11910" w:h="16840"/>
      <w:pgMar w:top="880" w:right="700" w:bottom="280" w:left="130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B86C4" w14:textId="77777777" w:rsidR="00DA1B20" w:rsidRDefault="00DA1B20" w:rsidP="00B263D0">
      <w:r>
        <w:separator/>
      </w:r>
    </w:p>
  </w:endnote>
  <w:endnote w:type="continuationSeparator" w:id="0">
    <w:p w14:paraId="346C4AEE" w14:textId="77777777" w:rsidR="00DA1B20" w:rsidRDefault="00DA1B20" w:rsidP="00B2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2CAB1" w14:textId="74B81021" w:rsidR="00B263D0" w:rsidRDefault="00B263D0" w:rsidP="00B263D0">
    <w:pPr>
      <w:pStyle w:val="Footer"/>
      <w:pBdr>
        <w:top w:val="thinThickSmallGap" w:sz="24" w:space="1" w:color="622423"/>
      </w:pBdr>
      <w:tabs>
        <w:tab w:val="right" w:pos="9644"/>
      </w:tabs>
      <w:rPr>
        <w:rFonts w:ascii="Cambria" w:hAnsi="Cambria"/>
      </w:rPr>
    </w:pPr>
    <w:r>
      <w:rPr>
        <w:rFonts w:ascii="Cambria" w:hAnsi="Cambria"/>
      </w:rPr>
      <w:t>Copyright © 2024 e-ISSN (online) : 2656-8403 ISSN (Print): 2087-9407</w:t>
    </w:r>
  </w:p>
  <w:p w14:paraId="63289B7F" w14:textId="77777777" w:rsidR="00B263D0" w:rsidRDefault="00B26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A51BE" w14:textId="77777777" w:rsidR="00DA1B20" w:rsidRDefault="00DA1B20" w:rsidP="00B263D0">
      <w:r>
        <w:separator/>
      </w:r>
    </w:p>
  </w:footnote>
  <w:footnote w:type="continuationSeparator" w:id="0">
    <w:p w14:paraId="7CE92DA7" w14:textId="77777777" w:rsidR="00DA1B20" w:rsidRDefault="00DA1B20" w:rsidP="00B2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51DD1" w14:textId="77777777" w:rsidR="00B263D0" w:rsidRDefault="00B263D0" w:rsidP="00B263D0">
    <w:pPr>
      <w:pStyle w:val="Header"/>
      <w:pBdr>
        <w:bottom w:val="thickThinSmallGap" w:sz="24" w:space="1" w:color="622423"/>
      </w:pBdr>
      <w:jc w:val="center"/>
      <w:rPr>
        <w:rFonts w:ascii="Cambria" w:eastAsia="Times New Roman" w:hAnsi="Cambria"/>
        <w:b/>
        <w:sz w:val="20"/>
        <w:lang w:val="en-GB" w:eastAsia="en-GB"/>
      </w:rPr>
    </w:pPr>
    <w:r>
      <w:rPr>
        <w:rFonts w:ascii="Cambria" w:eastAsia="Times New Roman" w:hAnsi="Cambria"/>
        <w:b/>
        <w:sz w:val="20"/>
        <w:lang w:val="en-GB" w:eastAsia="en-GB"/>
      </w:rPr>
      <w:t>Jurnal  Kebidanan : Jurnal Ilmu Kesehatan Budi Mulia</w:t>
    </w:r>
  </w:p>
  <w:p w14:paraId="10F59287" w14:textId="77777777" w:rsidR="00B263D0" w:rsidRDefault="00B263D0" w:rsidP="00B263D0">
    <w:pPr>
      <w:pStyle w:val="Header"/>
      <w:pBdr>
        <w:bottom w:val="thickThinSmallGap" w:sz="24" w:space="1" w:color="622423"/>
      </w:pBdr>
      <w:jc w:val="center"/>
      <w:rPr>
        <w:rFonts w:ascii="Cambria" w:eastAsia="Times New Roman" w:hAnsi="Cambria"/>
        <w:b/>
        <w:sz w:val="20"/>
        <w:lang w:val="en-GB" w:eastAsia="en-GB"/>
      </w:rPr>
    </w:pPr>
    <w:r>
      <w:rPr>
        <w:rFonts w:ascii="Cambria" w:eastAsia="Times New Roman" w:hAnsi="Cambria"/>
        <w:b/>
        <w:sz w:val="20"/>
        <w:lang w:val="en-GB" w:eastAsia="en-GB"/>
      </w:rPr>
      <w:t xml:space="preserve">Volume.14 No.2, Desember  2024 . Available online </w:t>
    </w:r>
    <w:hyperlink r:id="rId1" w:history="1">
      <w:r>
        <w:rPr>
          <w:rStyle w:val="Hyperlink"/>
          <w:rFonts w:ascii="Cambria" w:eastAsia="Times New Roman" w:hAnsi="Cambria"/>
          <w:b/>
          <w:sz w:val="20"/>
          <w:lang w:val="en-GB" w:eastAsia="en-GB"/>
        </w:rPr>
        <w:t>https://journal.budimulia.ac.id/</w:t>
      </w:r>
    </w:hyperlink>
  </w:p>
  <w:p w14:paraId="3802EFFA" w14:textId="77777777" w:rsidR="00B263D0" w:rsidRDefault="00B263D0" w:rsidP="00B263D0">
    <w:pPr>
      <w:pStyle w:val="Header"/>
      <w:pBdr>
        <w:bottom w:val="thickThinSmallGap" w:sz="24" w:space="1" w:color="622423"/>
      </w:pBdr>
      <w:jc w:val="center"/>
      <w:rPr>
        <w:rFonts w:ascii="Times New Roman" w:hAnsi="Times New Roman"/>
        <w:sz w:val="20"/>
        <w:szCs w:val="20"/>
      </w:rPr>
    </w:pPr>
  </w:p>
  <w:p w14:paraId="74B0C967" w14:textId="77777777" w:rsidR="00B263D0" w:rsidRDefault="00B263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449A"/>
    <w:rsid w:val="000B72A8"/>
    <w:rsid w:val="00142F54"/>
    <w:rsid w:val="00145F98"/>
    <w:rsid w:val="0024190F"/>
    <w:rsid w:val="002D6388"/>
    <w:rsid w:val="003B7FD1"/>
    <w:rsid w:val="0042027D"/>
    <w:rsid w:val="00721CB3"/>
    <w:rsid w:val="00762062"/>
    <w:rsid w:val="007B449A"/>
    <w:rsid w:val="007F0C55"/>
    <w:rsid w:val="00AA6C36"/>
    <w:rsid w:val="00B263D0"/>
    <w:rsid w:val="00B80CF7"/>
    <w:rsid w:val="00BD6059"/>
    <w:rsid w:val="00C104BC"/>
    <w:rsid w:val="00CA54FC"/>
    <w:rsid w:val="00DA1B20"/>
    <w:rsid w:val="00EA5676"/>
    <w:rsid w:val="00EF75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68C70"/>
  <w15:docId w15:val="{FF9AE6AF-CDC2-446A-994A-07241C51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line="250" w:lineRule="exact"/>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21" w:lineRule="exact"/>
      <w:ind w:left="112"/>
    </w:pPr>
    <w:rPr>
      <w:b/>
      <w:bCs/>
      <w:sz w:val="28"/>
      <w:szCs w:val="28"/>
    </w:rPr>
  </w:style>
  <w:style w:type="paragraph" w:styleId="ListParagraph">
    <w:name w:val="List Paragraph"/>
    <w:aliases w:val="Sub C,UGEX'Z,Body of text,bibliography,kepala"/>
    <w:basedOn w:val="Normal"/>
    <w:link w:val="ListParagraphChar"/>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qFormat/>
    <w:rsid w:val="003B7FD1"/>
    <w:pPr>
      <w:widowControl/>
      <w:tabs>
        <w:tab w:val="center" w:pos="4680"/>
        <w:tab w:val="right" w:pos="9360"/>
      </w:tabs>
      <w:autoSpaceDE/>
      <w:autoSpaceDN/>
    </w:pPr>
    <w:rPr>
      <w:rFonts w:asciiTheme="minorHAnsi" w:eastAsiaTheme="minorHAnsi" w:hAnsiTheme="minorHAnsi" w:cstheme="minorBidi"/>
      <w:lang w:val="en-ID"/>
    </w:rPr>
  </w:style>
  <w:style w:type="character" w:customStyle="1" w:styleId="HeaderChar">
    <w:name w:val="Header Char"/>
    <w:basedOn w:val="DefaultParagraphFont"/>
    <w:link w:val="Header"/>
    <w:uiPriority w:val="99"/>
    <w:qFormat/>
    <w:rsid w:val="003B7FD1"/>
    <w:rPr>
      <w:lang w:val="en-ID"/>
    </w:rPr>
  </w:style>
  <w:style w:type="character" w:customStyle="1" w:styleId="ListParagraphChar">
    <w:name w:val="List Paragraph Char"/>
    <w:aliases w:val="Sub C Char,UGEX'Z Char,Body of text Char,bibliography Char,kepala Char"/>
    <w:link w:val="ListParagraph"/>
    <w:uiPriority w:val="34"/>
    <w:qFormat/>
    <w:rsid w:val="003B7FD1"/>
    <w:rPr>
      <w:rFonts w:ascii="Times New Roman" w:eastAsia="Times New Roman" w:hAnsi="Times New Roman" w:cs="Times New Roman"/>
      <w:lang w:val="id"/>
    </w:rPr>
  </w:style>
  <w:style w:type="paragraph" w:customStyle="1" w:styleId="TabelSNFUM2015">
    <w:name w:val="Tabel SNF UM 2015"/>
    <w:basedOn w:val="Normal"/>
    <w:qFormat/>
    <w:rsid w:val="00721CB3"/>
    <w:pPr>
      <w:widowControl/>
      <w:autoSpaceDE/>
      <w:autoSpaceDN/>
      <w:jc w:val="center"/>
    </w:pPr>
    <w:rPr>
      <w:rFonts w:ascii="Century Schoolbook" w:eastAsia="SimSun" w:hAnsi="Century Schoolbook"/>
      <w:sz w:val="18"/>
      <w:lang w:val="en-US" w:eastAsia="zh-CN"/>
    </w:rPr>
  </w:style>
  <w:style w:type="character" w:styleId="CommentReference">
    <w:name w:val="annotation reference"/>
    <w:basedOn w:val="DefaultParagraphFont"/>
    <w:uiPriority w:val="99"/>
    <w:semiHidden/>
    <w:unhideWhenUsed/>
    <w:rsid w:val="007F0C55"/>
    <w:rPr>
      <w:sz w:val="16"/>
      <w:szCs w:val="16"/>
    </w:rPr>
  </w:style>
  <w:style w:type="paragraph" w:styleId="CommentText">
    <w:name w:val="annotation text"/>
    <w:basedOn w:val="Normal"/>
    <w:link w:val="CommentTextChar"/>
    <w:uiPriority w:val="99"/>
    <w:semiHidden/>
    <w:unhideWhenUsed/>
    <w:rsid w:val="007F0C55"/>
    <w:rPr>
      <w:sz w:val="20"/>
      <w:szCs w:val="20"/>
    </w:rPr>
  </w:style>
  <w:style w:type="character" w:customStyle="1" w:styleId="CommentTextChar">
    <w:name w:val="Comment Text Char"/>
    <w:basedOn w:val="DefaultParagraphFont"/>
    <w:link w:val="CommentText"/>
    <w:uiPriority w:val="99"/>
    <w:semiHidden/>
    <w:rsid w:val="007F0C55"/>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7F0C55"/>
    <w:rPr>
      <w:b/>
      <w:bCs/>
    </w:rPr>
  </w:style>
  <w:style w:type="character" w:customStyle="1" w:styleId="CommentSubjectChar">
    <w:name w:val="Comment Subject Char"/>
    <w:basedOn w:val="CommentTextChar"/>
    <w:link w:val="CommentSubject"/>
    <w:uiPriority w:val="99"/>
    <w:semiHidden/>
    <w:rsid w:val="007F0C55"/>
    <w:rPr>
      <w:rFonts w:ascii="Times New Roman" w:eastAsia="Times New Roman" w:hAnsi="Times New Roman" w:cs="Times New Roman"/>
      <w:b/>
      <w:bCs/>
      <w:sz w:val="20"/>
      <w:szCs w:val="20"/>
      <w:lang w:val="id"/>
    </w:rPr>
  </w:style>
  <w:style w:type="character" w:customStyle="1" w:styleId="Heading1Char">
    <w:name w:val="Heading 1 Char"/>
    <w:link w:val="Heading1"/>
    <w:uiPriority w:val="9"/>
    <w:qFormat/>
    <w:rsid w:val="00B263D0"/>
    <w:rPr>
      <w:rFonts w:ascii="Times New Roman" w:eastAsia="Times New Roman" w:hAnsi="Times New Roman" w:cs="Times New Roman"/>
      <w:b/>
      <w:bCs/>
      <w:lang w:val="id"/>
    </w:rPr>
  </w:style>
  <w:style w:type="paragraph" w:styleId="Footer">
    <w:name w:val="footer"/>
    <w:basedOn w:val="Normal"/>
    <w:link w:val="FooterChar"/>
    <w:uiPriority w:val="99"/>
    <w:unhideWhenUsed/>
    <w:qFormat/>
    <w:rsid w:val="00B263D0"/>
    <w:pPr>
      <w:tabs>
        <w:tab w:val="center" w:pos="4513"/>
        <w:tab w:val="right" w:pos="9026"/>
      </w:tabs>
    </w:pPr>
  </w:style>
  <w:style w:type="character" w:customStyle="1" w:styleId="FooterChar">
    <w:name w:val="Footer Char"/>
    <w:basedOn w:val="DefaultParagraphFont"/>
    <w:link w:val="Footer"/>
    <w:uiPriority w:val="99"/>
    <w:qFormat/>
    <w:rsid w:val="00B263D0"/>
    <w:rPr>
      <w:rFonts w:ascii="Times New Roman" w:eastAsia="Times New Roman" w:hAnsi="Times New Roman" w:cs="Times New Roman"/>
      <w:lang w:val="id"/>
    </w:rPr>
  </w:style>
  <w:style w:type="character" w:styleId="Hyperlink">
    <w:name w:val="Hyperlink"/>
    <w:uiPriority w:val="99"/>
    <w:unhideWhenUsed/>
    <w:qFormat/>
    <w:rsid w:val="00B263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ournal.budimuli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6B141-9364-4FF7-99A1-45042096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6757</Words>
  <Characters>38518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Manajemen Penerbitan Jurnal X</vt:lpstr>
    </vt:vector>
  </TitlesOfParts>
  <Company/>
  <LinksUpToDate>false</LinksUpToDate>
  <CharactersWithSpaces>45185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Manajemen Penerbitan Jurnal X</dc:title>
  <dc:subject>Lembaga X…., Alamat Penerbitan</dc:subject>
  <dc:creator>Peserta 1, peserta 2</dc:creator>
  <cp:lastModifiedBy>User</cp:lastModifiedBy>
  <cp:revision>9</cp:revision>
  <dcterms:created xsi:type="dcterms:W3CDTF">2024-11-25T13:01:00Z</dcterms:created>
  <dcterms:modified xsi:type="dcterms:W3CDTF">2024-12-23T03:29:00Z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Microsoft® Office Word 2007</vt:lpwstr>
  </property>
  <property fmtid="{D5CDD505-2E9C-101B-9397-08002B2CF9AE}" pid="4" name="LastSaved">
    <vt:filetime>2024-11-25T00:00:00Z</vt:filetime>
  </property>
  <property fmtid="{D5CDD505-2E9C-101B-9397-08002B2CF9AE}" pid="5" name="Producer">
    <vt:lpwstr>Microsoft® Office Word 2007</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Mendeley Document_1">
    <vt:lpwstr>True</vt:lpwstr>
  </property>
  <property fmtid="{D5CDD505-2E9C-101B-9397-08002B2CF9AE}" pid="27" name="Mendeley Unique User Id_1">
    <vt:lpwstr>2b53bca6-7012-34cb-838c-e47c9c4b869b</vt:lpwstr>
  </property>
  <property fmtid="{D5CDD505-2E9C-101B-9397-08002B2CF9AE}" pid="28" name="Mendeley Citation Style_1">
    <vt:lpwstr>http://www.zotero.org/styles/apa</vt:lpwstr>
  </property>
</Properties>
</file>